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2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gridCol w:w="5557"/>
        <w:gridCol w:w="5557"/>
      </w:tblGrid>
      <w:tr w:rsidR="00DF65E5" w:rsidRPr="00E33299" w14:paraId="1AD8A2AB" w14:textId="77777777" w:rsidTr="00DF65E5">
        <w:tc>
          <w:tcPr>
            <w:tcW w:w="4508" w:type="dxa"/>
          </w:tcPr>
          <w:p w14:paraId="2D79A38C" w14:textId="55E39CC7" w:rsidR="00DF65E5" w:rsidRPr="00E33299" w:rsidRDefault="00DF65E5" w:rsidP="00DF65E5">
            <w:pPr>
              <w:rPr>
                <w:rFonts w:cstheme="minorHAnsi"/>
                <w:b/>
                <w:sz w:val="20"/>
                <w:szCs w:val="20"/>
              </w:rPr>
            </w:pPr>
            <w:r w:rsidRPr="00E33299">
              <w:rPr>
                <w:rFonts w:cstheme="minorHAnsi"/>
                <w:sz w:val="20"/>
                <w:szCs w:val="20"/>
              </w:rPr>
              <w:t>Practice Name</w:t>
            </w:r>
          </w:p>
        </w:tc>
        <w:tc>
          <w:tcPr>
            <w:tcW w:w="5557" w:type="dxa"/>
          </w:tcPr>
          <w:p w14:paraId="3EFAFF9C" w14:textId="51BC00DD" w:rsidR="00DF65E5" w:rsidRPr="00E33299" w:rsidRDefault="00DF65E5" w:rsidP="00DF65E5">
            <w:pPr>
              <w:rPr>
                <w:rFonts w:cstheme="minorHAnsi"/>
                <w:sz w:val="20"/>
                <w:szCs w:val="20"/>
              </w:rPr>
            </w:pPr>
            <w:r w:rsidRPr="0070732E">
              <w:rPr>
                <w:rFonts w:cstheme="minorHAnsi"/>
                <w:sz w:val="20"/>
                <w:szCs w:val="20"/>
              </w:rPr>
              <w:t xml:space="preserve">The Grove Surgery </w:t>
            </w:r>
          </w:p>
        </w:tc>
        <w:tc>
          <w:tcPr>
            <w:tcW w:w="5557" w:type="dxa"/>
          </w:tcPr>
          <w:p w14:paraId="72ECDB0E" w14:textId="105C4620" w:rsidR="00DF65E5" w:rsidRPr="00E33299" w:rsidRDefault="00DF65E5" w:rsidP="00DF65E5">
            <w:pPr>
              <w:rPr>
                <w:rFonts w:cstheme="minorHAnsi"/>
                <w:sz w:val="20"/>
                <w:szCs w:val="20"/>
              </w:rPr>
            </w:pPr>
          </w:p>
        </w:tc>
        <w:tc>
          <w:tcPr>
            <w:tcW w:w="5557" w:type="dxa"/>
          </w:tcPr>
          <w:p w14:paraId="2E840C4D" w14:textId="1038ED1B" w:rsidR="00DF65E5" w:rsidRPr="00E33299" w:rsidRDefault="00DF65E5" w:rsidP="00DF65E5">
            <w:pPr>
              <w:rPr>
                <w:rFonts w:cstheme="minorHAnsi"/>
                <w:sz w:val="20"/>
                <w:szCs w:val="20"/>
              </w:rPr>
            </w:pPr>
          </w:p>
        </w:tc>
      </w:tr>
      <w:tr w:rsidR="00DF65E5" w:rsidRPr="00E33299" w14:paraId="494A2F51" w14:textId="77777777" w:rsidTr="00DF65E5">
        <w:tc>
          <w:tcPr>
            <w:tcW w:w="4508" w:type="dxa"/>
          </w:tcPr>
          <w:p w14:paraId="31C5202B" w14:textId="4D64E4FC" w:rsidR="00DF65E5" w:rsidRPr="00E33299" w:rsidRDefault="00DF65E5" w:rsidP="00DF65E5">
            <w:pPr>
              <w:rPr>
                <w:rFonts w:cstheme="minorHAnsi"/>
                <w:sz w:val="20"/>
                <w:szCs w:val="20"/>
              </w:rPr>
            </w:pPr>
            <w:r w:rsidRPr="00E33299">
              <w:rPr>
                <w:rFonts w:cstheme="minorHAnsi"/>
                <w:sz w:val="20"/>
                <w:szCs w:val="20"/>
              </w:rPr>
              <w:t>Address</w:t>
            </w:r>
          </w:p>
        </w:tc>
        <w:tc>
          <w:tcPr>
            <w:tcW w:w="5557" w:type="dxa"/>
          </w:tcPr>
          <w:p w14:paraId="583B1348" w14:textId="3479F4D4" w:rsidR="00DF65E5" w:rsidRPr="00E33299" w:rsidRDefault="00DF65E5" w:rsidP="00DF65E5">
            <w:pPr>
              <w:rPr>
                <w:rFonts w:cstheme="minorHAnsi"/>
                <w:sz w:val="20"/>
                <w:szCs w:val="20"/>
              </w:rPr>
            </w:pPr>
            <w:r w:rsidRPr="0070732E">
              <w:rPr>
                <w:rFonts w:cstheme="minorHAnsi"/>
                <w:sz w:val="20"/>
                <w:szCs w:val="20"/>
              </w:rPr>
              <w:t>Fairmile Road</w:t>
            </w:r>
          </w:p>
        </w:tc>
        <w:tc>
          <w:tcPr>
            <w:tcW w:w="5557" w:type="dxa"/>
          </w:tcPr>
          <w:p w14:paraId="291C9139" w14:textId="3E2CD02D" w:rsidR="00DF65E5" w:rsidRPr="00E33299" w:rsidRDefault="00DF65E5" w:rsidP="00DF65E5">
            <w:pPr>
              <w:rPr>
                <w:rFonts w:cstheme="minorHAnsi"/>
                <w:sz w:val="20"/>
                <w:szCs w:val="20"/>
              </w:rPr>
            </w:pPr>
          </w:p>
        </w:tc>
        <w:tc>
          <w:tcPr>
            <w:tcW w:w="5557" w:type="dxa"/>
          </w:tcPr>
          <w:p w14:paraId="726FE251" w14:textId="039C9569" w:rsidR="00DF65E5" w:rsidRPr="00E33299" w:rsidRDefault="00DF65E5" w:rsidP="00DF65E5">
            <w:pPr>
              <w:rPr>
                <w:rFonts w:cstheme="minorHAnsi"/>
                <w:sz w:val="20"/>
                <w:szCs w:val="20"/>
              </w:rPr>
            </w:pPr>
          </w:p>
        </w:tc>
      </w:tr>
      <w:tr w:rsidR="00DF65E5" w:rsidRPr="00E33299" w14:paraId="30F83EE1" w14:textId="77777777" w:rsidTr="00DF65E5">
        <w:tc>
          <w:tcPr>
            <w:tcW w:w="4508" w:type="dxa"/>
          </w:tcPr>
          <w:p w14:paraId="3EAE8103" w14:textId="1EB7F425" w:rsidR="00DF65E5" w:rsidRPr="00E33299" w:rsidRDefault="00DF65E5" w:rsidP="00DF65E5">
            <w:pPr>
              <w:rPr>
                <w:rFonts w:cstheme="minorHAnsi"/>
                <w:sz w:val="20"/>
                <w:szCs w:val="20"/>
              </w:rPr>
            </w:pPr>
            <w:r w:rsidRPr="00E33299">
              <w:rPr>
                <w:rFonts w:cstheme="minorHAnsi"/>
                <w:sz w:val="20"/>
                <w:szCs w:val="20"/>
              </w:rPr>
              <w:t>Phone number</w:t>
            </w:r>
          </w:p>
        </w:tc>
        <w:tc>
          <w:tcPr>
            <w:tcW w:w="5557" w:type="dxa"/>
          </w:tcPr>
          <w:p w14:paraId="06052312" w14:textId="45B23AFD" w:rsidR="00DF65E5" w:rsidRPr="00E33299" w:rsidRDefault="00DF65E5" w:rsidP="00DF65E5">
            <w:pPr>
              <w:rPr>
                <w:rFonts w:cstheme="minorHAnsi"/>
                <w:sz w:val="20"/>
                <w:szCs w:val="20"/>
              </w:rPr>
            </w:pPr>
            <w:r w:rsidRPr="0070732E">
              <w:rPr>
                <w:rFonts w:cstheme="minorHAnsi"/>
                <w:sz w:val="20"/>
                <w:szCs w:val="20"/>
              </w:rPr>
              <w:t xml:space="preserve">01202 481192 </w:t>
            </w:r>
          </w:p>
        </w:tc>
        <w:tc>
          <w:tcPr>
            <w:tcW w:w="5557" w:type="dxa"/>
          </w:tcPr>
          <w:p w14:paraId="27DBCBD7" w14:textId="6D5F8F30" w:rsidR="00DF65E5" w:rsidRPr="00E33299" w:rsidRDefault="00DF65E5" w:rsidP="00DF65E5">
            <w:pPr>
              <w:rPr>
                <w:rFonts w:cstheme="minorHAnsi"/>
                <w:sz w:val="20"/>
                <w:szCs w:val="20"/>
              </w:rPr>
            </w:pPr>
          </w:p>
        </w:tc>
        <w:tc>
          <w:tcPr>
            <w:tcW w:w="5557" w:type="dxa"/>
          </w:tcPr>
          <w:p w14:paraId="479818B2" w14:textId="47FBF466" w:rsidR="00DF65E5" w:rsidRPr="00E33299" w:rsidRDefault="00DF65E5" w:rsidP="00DF65E5">
            <w:pPr>
              <w:rPr>
                <w:rFonts w:cstheme="minorHAnsi"/>
                <w:sz w:val="20"/>
                <w:szCs w:val="20"/>
              </w:rPr>
            </w:pPr>
          </w:p>
        </w:tc>
      </w:tr>
      <w:tr w:rsidR="00DF65E5" w:rsidRPr="00E33299" w14:paraId="53E57EAF" w14:textId="77777777" w:rsidTr="00DF65E5">
        <w:tc>
          <w:tcPr>
            <w:tcW w:w="4508" w:type="dxa"/>
          </w:tcPr>
          <w:p w14:paraId="2E1D59BC" w14:textId="79522432" w:rsidR="00DF65E5" w:rsidRPr="00E33299" w:rsidRDefault="00DF65E5" w:rsidP="00DF65E5">
            <w:pPr>
              <w:rPr>
                <w:rFonts w:cstheme="minorHAnsi"/>
                <w:sz w:val="20"/>
                <w:szCs w:val="20"/>
              </w:rPr>
            </w:pPr>
            <w:r w:rsidRPr="00E33299">
              <w:rPr>
                <w:rFonts w:cstheme="minorHAnsi"/>
                <w:sz w:val="20"/>
                <w:szCs w:val="20"/>
              </w:rPr>
              <w:t>Email</w:t>
            </w:r>
          </w:p>
        </w:tc>
        <w:tc>
          <w:tcPr>
            <w:tcW w:w="5557" w:type="dxa"/>
          </w:tcPr>
          <w:p w14:paraId="5A8675AD" w14:textId="618DCACF" w:rsidR="00DF65E5" w:rsidRPr="00E33299" w:rsidRDefault="00DF65E5" w:rsidP="00DF65E5">
            <w:pPr>
              <w:rPr>
                <w:rFonts w:cstheme="minorHAnsi"/>
                <w:sz w:val="20"/>
                <w:szCs w:val="20"/>
              </w:rPr>
            </w:pPr>
            <w:hyperlink r:id="rId11" w:history="1">
              <w:r>
                <w:rPr>
                  <w:rStyle w:val="Hyperlink"/>
                  <w:rFonts w:cstheme="minorHAnsi"/>
                  <w:sz w:val="20"/>
                  <w:szCs w:val="20"/>
                </w:rPr>
                <w:t>grove.surgerychristchurch@nhs.net</w:t>
              </w:r>
            </w:hyperlink>
          </w:p>
        </w:tc>
        <w:tc>
          <w:tcPr>
            <w:tcW w:w="5557" w:type="dxa"/>
          </w:tcPr>
          <w:p w14:paraId="2F3D1476" w14:textId="0E1F1C1E" w:rsidR="00DF65E5" w:rsidRPr="00E33299" w:rsidRDefault="00DF65E5" w:rsidP="00DF65E5">
            <w:pPr>
              <w:rPr>
                <w:rFonts w:cstheme="minorHAnsi"/>
                <w:sz w:val="20"/>
                <w:szCs w:val="20"/>
              </w:rPr>
            </w:pPr>
          </w:p>
        </w:tc>
        <w:tc>
          <w:tcPr>
            <w:tcW w:w="5557" w:type="dxa"/>
          </w:tcPr>
          <w:p w14:paraId="37084901" w14:textId="3627C854" w:rsidR="00DF65E5" w:rsidRPr="00E33299" w:rsidRDefault="00DF65E5" w:rsidP="00DF65E5">
            <w:pPr>
              <w:rPr>
                <w:rFonts w:cstheme="minorHAnsi"/>
                <w:sz w:val="20"/>
                <w:szCs w:val="20"/>
              </w:rPr>
            </w:pPr>
          </w:p>
        </w:tc>
      </w:tr>
      <w:tr w:rsidR="00DF65E5" w:rsidRPr="00E33299" w14:paraId="517AA754" w14:textId="77777777" w:rsidTr="00DF65E5">
        <w:tc>
          <w:tcPr>
            <w:tcW w:w="4508" w:type="dxa"/>
          </w:tcPr>
          <w:p w14:paraId="221DD722" w14:textId="4114CEC5" w:rsidR="00DF65E5" w:rsidRPr="00E33299" w:rsidRDefault="00DF65E5" w:rsidP="00DF65E5">
            <w:pPr>
              <w:rPr>
                <w:rFonts w:cstheme="minorHAnsi"/>
                <w:sz w:val="20"/>
                <w:szCs w:val="20"/>
              </w:rPr>
            </w:pPr>
            <w:r w:rsidRPr="00E33299">
              <w:rPr>
                <w:rFonts w:cstheme="minorHAnsi"/>
                <w:sz w:val="20"/>
                <w:szCs w:val="20"/>
              </w:rPr>
              <w:t>Data Protection Officers</w:t>
            </w:r>
          </w:p>
        </w:tc>
        <w:tc>
          <w:tcPr>
            <w:tcW w:w="5557" w:type="dxa"/>
          </w:tcPr>
          <w:p w14:paraId="5E2C2A3E" w14:textId="17AA4B4E" w:rsidR="00DF65E5" w:rsidRPr="00E33299" w:rsidRDefault="00DF65E5" w:rsidP="00DF65E5">
            <w:pPr>
              <w:rPr>
                <w:rFonts w:cstheme="minorHAnsi"/>
                <w:sz w:val="20"/>
                <w:szCs w:val="20"/>
              </w:rPr>
            </w:pPr>
            <w:r w:rsidRPr="0070732E">
              <w:rPr>
                <w:rFonts w:cstheme="minorHAnsi"/>
                <w:sz w:val="20"/>
                <w:szCs w:val="20"/>
              </w:rPr>
              <w:t>Chris Alderson</w:t>
            </w:r>
          </w:p>
        </w:tc>
        <w:tc>
          <w:tcPr>
            <w:tcW w:w="5557" w:type="dxa"/>
          </w:tcPr>
          <w:p w14:paraId="145F5903" w14:textId="735D5253" w:rsidR="00DF65E5" w:rsidRPr="00E33299" w:rsidRDefault="00DF65E5" w:rsidP="00DF65E5">
            <w:pPr>
              <w:rPr>
                <w:rFonts w:cstheme="minorHAnsi"/>
                <w:sz w:val="20"/>
                <w:szCs w:val="20"/>
              </w:rPr>
            </w:pPr>
          </w:p>
        </w:tc>
        <w:tc>
          <w:tcPr>
            <w:tcW w:w="5557" w:type="dxa"/>
          </w:tcPr>
          <w:p w14:paraId="6DD2F7D5" w14:textId="5546B374" w:rsidR="00DF65E5" w:rsidRPr="00E33299" w:rsidRDefault="00DF65E5" w:rsidP="00DF65E5">
            <w:pPr>
              <w:rPr>
                <w:rFonts w:cstheme="minorHAnsi"/>
                <w:sz w:val="20"/>
                <w:szCs w:val="20"/>
              </w:rPr>
            </w:pPr>
          </w:p>
        </w:tc>
      </w:tr>
      <w:tr w:rsidR="00DF65E5" w:rsidRPr="00E33299" w14:paraId="1BCE670A" w14:textId="77777777" w:rsidTr="00DF65E5">
        <w:tc>
          <w:tcPr>
            <w:tcW w:w="4508" w:type="dxa"/>
          </w:tcPr>
          <w:p w14:paraId="5B257764" w14:textId="6E7F0DE0" w:rsidR="00DF65E5" w:rsidRPr="00E33299" w:rsidRDefault="00DF65E5" w:rsidP="00DF65E5">
            <w:pPr>
              <w:rPr>
                <w:rFonts w:cstheme="minorHAnsi"/>
                <w:sz w:val="20"/>
                <w:szCs w:val="20"/>
              </w:rPr>
            </w:pPr>
            <w:r w:rsidRPr="00E33299">
              <w:rPr>
                <w:rFonts w:cstheme="minorHAnsi"/>
                <w:sz w:val="20"/>
                <w:szCs w:val="20"/>
              </w:rPr>
              <w:t xml:space="preserve">Data Protection Registration Number </w:t>
            </w:r>
          </w:p>
        </w:tc>
        <w:tc>
          <w:tcPr>
            <w:tcW w:w="5557" w:type="dxa"/>
          </w:tcPr>
          <w:p w14:paraId="7B17BC95" w14:textId="77777777" w:rsidR="00DF65E5" w:rsidRPr="0070732E" w:rsidRDefault="00DF65E5" w:rsidP="00DF65E5">
            <w:pPr>
              <w:rPr>
                <w:rFonts w:cstheme="minorHAnsi"/>
                <w:sz w:val="20"/>
                <w:szCs w:val="20"/>
              </w:rPr>
            </w:pPr>
            <w:r w:rsidRPr="0070732E">
              <w:rPr>
                <w:rFonts w:cstheme="minorHAnsi"/>
                <w:sz w:val="20"/>
                <w:szCs w:val="20"/>
              </w:rPr>
              <w:t>Z4704085</w:t>
            </w:r>
          </w:p>
          <w:p w14:paraId="58AAAABF" w14:textId="77777777" w:rsidR="00DF65E5" w:rsidRPr="0070732E" w:rsidRDefault="00DF65E5" w:rsidP="00DF65E5">
            <w:pPr>
              <w:rPr>
                <w:rFonts w:cstheme="minorHAnsi"/>
                <w:sz w:val="20"/>
                <w:szCs w:val="20"/>
              </w:rPr>
            </w:pPr>
          </w:p>
          <w:p w14:paraId="21659ED5" w14:textId="77777777" w:rsidR="00DF65E5" w:rsidRPr="00E33299" w:rsidRDefault="00DF65E5" w:rsidP="00DF65E5">
            <w:pPr>
              <w:rPr>
                <w:rFonts w:cstheme="minorHAnsi"/>
                <w:sz w:val="20"/>
                <w:szCs w:val="20"/>
              </w:rPr>
            </w:pPr>
          </w:p>
        </w:tc>
        <w:tc>
          <w:tcPr>
            <w:tcW w:w="5557" w:type="dxa"/>
          </w:tcPr>
          <w:p w14:paraId="2E360ECE" w14:textId="5F5D8289" w:rsidR="00DF65E5" w:rsidRPr="00E33299" w:rsidRDefault="00DF65E5" w:rsidP="00DF65E5">
            <w:pPr>
              <w:rPr>
                <w:rFonts w:cstheme="minorHAnsi"/>
                <w:sz w:val="20"/>
                <w:szCs w:val="20"/>
              </w:rPr>
            </w:pPr>
          </w:p>
        </w:tc>
        <w:tc>
          <w:tcPr>
            <w:tcW w:w="5557" w:type="dxa"/>
          </w:tcPr>
          <w:p w14:paraId="47622912" w14:textId="28E682D6" w:rsidR="00DF65E5" w:rsidRPr="00E33299" w:rsidRDefault="00DF65E5" w:rsidP="00DF65E5">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complaint;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date of birth, NHS Number</w:t>
      </w:r>
      <w:r w:rsidRPr="00E33299">
        <w:rPr>
          <w:rFonts w:cstheme="minorHAnsi"/>
          <w:sz w:val="20"/>
          <w:szCs w:val="20"/>
        </w:rPr>
        <w:t>;</w:t>
      </w:r>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ontact details – address, telephone, email address</w:t>
      </w:r>
      <w:r w:rsidRPr="00E33299">
        <w:rPr>
          <w:rFonts w:cstheme="minorHAnsi"/>
          <w:sz w:val="20"/>
          <w:szCs w:val="20"/>
        </w:rPr>
        <w:t>;</w:t>
      </w:r>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r w:rsidR="00D70D0B" w:rsidRPr="00E33299">
        <w:rPr>
          <w:rFonts w:cstheme="minorHAnsi"/>
          <w:sz w:val="20"/>
          <w:szCs w:val="20"/>
        </w:rPr>
        <w:t>n</w:t>
      </w:r>
      <w:r w:rsidRPr="00E33299">
        <w:rPr>
          <w:rFonts w:cstheme="minorHAnsi"/>
          <w:sz w:val="20"/>
          <w:szCs w:val="20"/>
        </w:rPr>
        <w:t xml:space="preserve">ext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friend</w:t>
      </w:r>
      <w:r w:rsidR="001333CF" w:rsidRPr="00E33299">
        <w:rPr>
          <w:rFonts w:cstheme="minorHAnsi"/>
          <w:sz w:val="20"/>
          <w:szCs w:val="20"/>
        </w:rPr>
        <w:t>;</w:t>
      </w:r>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details of any carer you may have, or anyone you care for;</w:t>
      </w:r>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GPs and nursing staff</w:t>
      </w:r>
      <w:r w:rsidRPr="00E33299">
        <w:rPr>
          <w:rFonts w:cstheme="minorHAnsi"/>
          <w:sz w:val="20"/>
          <w:szCs w:val="20"/>
        </w:rPr>
        <w:t>;</w:t>
      </w:r>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econdary care of any A&amp;E visits, inpatient stays or clinic appointments</w:t>
      </w:r>
      <w:r w:rsidRPr="00E33299">
        <w:rPr>
          <w:rFonts w:cstheme="minorHAnsi"/>
          <w:sz w:val="20"/>
          <w:szCs w:val="20"/>
        </w:rPr>
        <w:t>;</w:t>
      </w:r>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esults of any scans, X-rays and pathology tests requested</w:t>
      </w:r>
      <w:r w:rsidRPr="00E33299">
        <w:rPr>
          <w:rFonts w:cstheme="minorHAnsi"/>
          <w:sz w:val="20"/>
          <w:szCs w:val="20"/>
        </w:rPr>
        <w:t>;</w:t>
      </w:r>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diagnosis and treatments given</w:t>
      </w:r>
      <w:r w:rsidRPr="00E33299">
        <w:rPr>
          <w:rFonts w:cstheme="minorHAnsi"/>
          <w:sz w:val="20"/>
          <w:szCs w:val="20"/>
        </w:rPr>
        <w:t>;</w:t>
      </w:r>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longstanding health concerns and conditions</w:t>
      </w:r>
      <w:r w:rsidRPr="00E33299">
        <w:rPr>
          <w:rFonts w:cstheme="minorHAnsi"/>
          <w:sz w:val="20"/>
          <w:szCs w:val="20"/>
        </w:rPr>
        <w:t>;</w:t>
      </w:r>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you</w:t>
      </w:r>
      <w:r w:rsidRPr="00E33299">
        <w:rPr>
          <w:rFonts w:cstheme="minorHAnsi"/>
          <w:sz w:val="20"/>
          <w:szCs w:val="20"/>
        </w:rPr>
        <w:t>;</w:t>
      </w:r>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about any funding for continuing health care or personal health budget support you have sought;</w:t>
      </w:r>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allergies</w:t>
      </w:r>
      <w:r w:rsidRPr="00E33299">
        <w:rPr>
          <w:rFonts w:cstheme="minorHAnsi"/>
          <w:sz w:val="20"/>
          <w:szCs w:val="20"/>
        </w:rPr>
        <w:t>;</w:t>
      </w:r>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DNAR decisions and any living wills that we know of</w:t>
      </w:r>
      <w:r w:rsidRPr="00E33299">
        <w:rPr>
          <w:rFonts w:cstheme="minorHAnsi"/>
          <w:sz w:val="20"/>
          <w:szCs w:val="20"/>
        </w:rPr>
        <w:t>;</w:t>
      </w:r>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from where you have signed up to our newsletter/patient participation group;</w:t>
      </w:r>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a number of Health and Social care organisations and independent treatment centres in order to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in order to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in order </w:t>
      </w:r>
      <w:r w:rsidR="00C04795" w:rsidRPr="00E33299">
        <w:t>for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62C74457" w14:textId="6129CCBE" w:rsidR="00C16838" w:rsidRPr="00E33299" w:rsidRDefault="00C16838" w:rsidP="00F2650E">
      <w:pPr>
        <w:pStyle w:val="Para"/>
      </w:pPr>
      <w:r w:rsidRPr="00C16838">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in order to do their jobs. </w:t>
      </w:r>
      <w:r w:rsidR="001333CF" w:rsidRPr="00E33299">
        <w:t xml:space="preserve"> </w:t>
      </w:r>
      <w:r w:rsidRPr="00E33299">
        <w:t xml:space="preserve">All of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r w:rsidR="0038329E" w:rsidRPr="00E33299">
        <w:rPr>
          <w:rFonts w:cstheme="minorHAnsi"/>
          <w:sz w:val="20"/>
          <w:szCs w:val="20"/>
        </w:rPr>
        <w:t>administration;</w:t>
      </w:r>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social workers or to other non-NHS staff involved in providing health and social care;</w:t>
      </w:r>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specialist employees or organisations for the purposes of clinical auditing;</w:t>
      </w:r>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to support your care</w:t>
      </w:r>
      <w:r w:rsidRPr="00E33299">
        <w:rPr>
          <w:rFonts w:cstheme="minorHAnsi"/>
          <w:sz w:val="20"/>
          <w:szCs w:val="20"/>
        </w:rPr>
        <w:t>;</w:t>
      </w:r>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to support your care</w:t>
      </w:r>
      <w:r w:rsidR="0038329E" w:rsidRPr="00E33299">
        <w:rPr>
          <w:rFonts w:cstheme="minorHAnsi"/>
          <w:sz w:val="20"/>
          <w:szCs w:val="20"/>
        </w:rPr>
        <w:t>;</w:t>
      </w:r>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
    <w:p w14:paraId="2570C875" w14:textId="09BF3D11" w:rsidR="0038329E"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commissioning, managing and auditing healthcare services;</w:t>
      </w:r>
    </w:p>
    <w:p w14:paraId="3ECA411D" w14:textId="77777777" w:rsidR="00C16838" w:rsidRPr="00C16838" w:rsidRDefault="00C16838" w:rsidP="00C16838"/>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t>B</w:t>
      </w:r>
      <w:r w:rsidR="007C06C1" w:rsidRPr="00E33299">
        <w:rPr>
          <w:rFonts w:cstheme="minorHAnsi"/>
          <w:sz w:val="20"/>
          <w:szCs w:val="20"/>
        </w:rPr>
        <w:t>odies with statutory investigative powers e.g. the Care Quality Commission, the GMC, the Audit Commission and Health Services Ombudsman;</w:t>
      </w:r>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national registries e.g. the UK Association of Cancer Registries;</w:t>
      </w:r>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advice</w:t>
      </w:r>
      <w:r w:rsidRPr="00E33299">
        <w:rPr>
          <w:rFonts w:cstheme="minorHAnsi"/>
          <w:sz w:val="20"/>
          <w:szCs w:val="20"/>
        </w:rPr>
        <w:t>;</w:t>
      </w:r>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scheme</w:t>
      </w:r>
      <w:r w:rsidRPr="00E33299">
        <w:rPr>
          <w:rFonts w:cstheme="minorHAnsi"/>
          <w:sz w:val="20"/>
          <w:szCs w:val="20"/>
        </w:rPr>
        <w:t>;</w:t>
      </w:r>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for the purposes of responding to requests for medical reports and subject access requests;</w:t>
      </w:r>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allow you to enter your own health data into the apps for clinical observation and monitoring;</w:t>
      </w:r>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patient</w:t>
      </w:r>
      <w:r w:rsidRPr="00E33299">
        <w:rPr>
          <w:rFonts w:cstheme="minorHAnsi"/>
          <w:sz w:val="20"/>
          <w:szCs w:val="20"/>
        </w:rPr>
        <w:t>;</w:t>
      </w:r>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ndependent contractors such as dentists, opticians, pharmacists</w:t>
      </w:r>
      <w:r w:rsidRPr="00E33299">
        <w:rPr>
          <w:rFonts w:cstheme="minorHAnsi"/>
          <w:sz w:val="20"/>
          <w:szCs w:val="20"/>
        </w:rPr>
        <w:t>;</w:t>
      </w:r>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consent</w:t>
      </w:r>
      <w:r w:rsidR="00EF25F4" w:rsidRPr="00E33299">
        <w:rPr>
          <w:rFonts w:cstheme="minorHAnsi"/>
          <w:sz w:val="20"/>
          <w:szCs w:val="20"/>
        </w:rPr>
        <w:t>;</w:t>
      </w:r>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authorised sub-contractors, including those supporting the collection of QOF data;</w:t>
      </w:r>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there is a Court Order or a statutory duty to share patient data;</w:t>
      </w:r>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data;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given his/her explicit consent to the sharing;</w:t>
      </w:r>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care;</w:t>
      </w:r>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need to know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NHS General Practitioners (GPs), NHS Ambulance services in order to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however, your care will be affected if your clinicians do not have the relevant information necessary in order to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lastRenderedPageBreak/>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direct healthcare</w:t>
      </w:r>
      <w:r w:rsidR="007A2410" w:rsidRPr="00E33299">
        <w:rPr>
          <w:rFonts w:cstheme="minorHAnsi"/>
          <w:sz w:val="20"/>
          <w:szCs w:val="20"/>
        </w:rPr>
        <w:t>;</w:t>
      </w:r>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ith information regarding your h</w:t>
      </w:r>
      <w:r w:rsidR="007A0EEF" w:rsidRPr="00E33299">
        <w:rPr>
          <w:rFonts w:cstheme="minorHAnsi"/>
          <w:sz w:val="20"/>
          <w:szCs w:val="20"/>
        </w:rPr>
        <w:t>ealthcare</w:t>
      </w:r>
      <w:r w:rsidR="007A2410" w:rsidRPr="00E33299">
        <w:rPr>
          <w:rFonts w:cstheme="minorHAnsi"/>
          <w:sz w:val="20"/>
          <w:szCs w:val="20"/>
        </w:rPr>
        <w:t>;</w:t>
      </w:r>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We keep records in order to:</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accurate and up to date information available to the right care and treatment options</w:t>
      </w:r>
      <w:r w:rsidR="007A2410" w:rsidRPr="00E33299">
        <w:rPr>
          <w:rFonts w:cstheme="minorHAnsi"/>
          <w:sz w:val="20"/>
          <w:szCs w:val="20"/>
        </w:rPr>
        <w:t>;</w:t>
      </w:r>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w:t>
      </w:r>
      <w:r w:rsidRPr="00E33299">
        <w:rPr>
          <w:lang w:eastAsia="en-GB"/>
        </w:rPr>
        <w:lastRenderedPageBreak/>
        <w:t xml:space="preserve">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with regard to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reason for medication;</w:t>
      </w:r>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anticipatory care information (such as information about the management of long term conditions);</w:t>
      </w:r>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end of life care information;</w:t>
      </w:r>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information about your immunisations;</w:t>
      </w:r>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are able to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r w:rsidRPr="00E33299">
        <w:rPr>
          <w:b/>
          <w:bCs/>
        </w:rPr>
        <w:t>OpenSAFELY</w:t>
      </w:r>
    </w:p>
    <w:p w14:paraId="24CADF80" w14:textId="77777777" w:rsidR="00167D00" w:rsidRDefault="00167D00" w:rsidP="00167D00">
      <w:pPr>
        <w:pStyle w:val="sectionheading"/>
        <w:spacing w:after="0"/>
        <w:rPr>
          <w:rFonts w:eastAsia="Times New Roman"/>
          <w:b w:val="0"/>
          <w:bCs/>
          <w:lang w:eastAsia="en-GB"/>
        </w:rPr>
      </w:pPr>
      <w:r w:rsidRPr="002867E2">
        <w:rPr>
          <w:rFonts w:eastAsia="Times New Roman"/>
          <w:b w:val="0"/>
          <w:bCs/>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5ECF011" w14:textId="77777777" w:rsidR="00167D00" w:rsidRPr="002867E2" w:rsidRDefault="00167D00" w:rsidP="00167D00">
      <w:pPr>
        <w:pStyle w:val="sectionheading"/>
        <w:spacing w:after="0"/>
        <w:rPr>
          <w:rFonts w:eastAsia="Times New Roman"/>
          <w:b w:val="0"/>
          <w:bCs/>
          <w:lang w:eastAsia="en-GB"/>
        </w:rPr>
      </w:pPr>
    </w:p>
    <w:p w14:paraId="3DC2895A" w14:textId="77777777" w:rsidR="00167D00" w:rsidRPr="002867E2" w:rsidRDefault="00167D00" w:rsidP="00167D00">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6B1C1EFB" w14:textId="77777777" w:rsidR="00167D00" w:rsidRDefault="00167D00" w:rsidP="00167D00">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30DD627E" w14:textId="77777777" w:rsidR="00167D00" w:rsidRPr="002867E2" w:rsidRDefault="00167D00" w:rsidP="00167D00">
      <w:pPr>
        <w:pStyle w:val="sectionheading"/>
        <w:spacing w:after="0"/>
        <w:rPr>
          <w:rFonts w:eastAsia="Times New Roman"/>
          <w:b w:val="0"/>
          <w:bCs/>
          <w:lang w:eastAsia="en-GB"/>
        </w:rPr>
      </w:pPr>
    </w:p>
    <w:p w14:paraId="38185769" w14:textId="77777777" w:rsidR="00167D00" w:rsidRPr="002867E2" w:rsidRDefault="00167D00" w:rsidP="00167D00">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18DE369B" w14:textId="77777777" w:rsidR="00167D00" w:rsidRDefault="00167D00" w:rsidP="00167D00">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additional information about OpenSAFELY</w:t>
        </w:r>
      </w:hyperlink>
      <w:r w:rsidRPr="002867E2">
        <w:rPr>
          <w:rFonts w:eastAsia="Times New Roman"/>
          <w:b w:val="0"/>
          <w:bCs/>
          <w:lang w:eastAsia="en-GB"/>
        </w:rPr>
        <w:t>.</w:t>
      </w:r>
    </w:p>
    <w:p w14:paraId="3F5A084B" w14:textId="77777777" w:rsidR="00A54A63" w:rsidRDefault="00A54A63" w:rsidP="00A54A63">
      <w:pPr>
        <w:pStyle w:val="sectionheading"/>
        <w:rPr>
          <w:rFonts w:eastAsia="Times New Roman"/>
          <w:lang w:eastAsia="en-GB"/>
        </w:rPr>
      </w:pPr>
      <w:r>
        <w:rPr>
          <w:rFonts w:eastAsia="Times New Roman"/>
          <w:lang w:eastAsia="en-GB"/>
        </w:rPr>
        <w:t>Abtrace CDSS</w:t>
      </w:r>
    </w:p>
    <w:p w14:paraId="7BFD0B98" w14:textId="77777777" w:rsidR="00A54A63" w:rsidRPr="001174B3" w:rsidRDefault="00A54A63" w:rsidP="00A54A63">
      <w:pPr>
        <w:pStyle w:val="sectionheading"/>
        <w:rPr>
          <w:rFonts w:eastAsia="Times New Roman"/>
          <w:b w:val="0"/>
          <w:bCs/>
          <w:lang w:eastAsia="en-GB"/>
        </w:rPr>
      </w:pPr>
      <w:r w:rsidRPr="001174B3">
        <w:rPr>
          <w:rFonts w:eastAsia="Times New Roman"/>
          <w:b w:val="0"/>
          <w:bCs/>
          <w:lang w:eastAsia="en-GB"/>
        </w:rPr>
        <w:t>Abtrace CDSS is a Clinical Decision Support System (CDSS) in the form of software, which analyses clinical data within primary care electronic health records (EHR) to improve clinical care of patients.</w:t>
      </w:r>
    </w:p>
    <w:p w14:paraId="35B2CB11" w14:textId="77777777" w:rsidR="00A54A63" w:rsidRPr="001174B3" w:rsidRDefault="00A54A63" w:rsidP="00A54A63">
      <w:pPr>
        <w:pStyle w:val="sectionheading"/>
        <w:rPr>
          <w:rFonts w:eastAsia="Times New Roman"/>
          <w:b w:val="0"/>
          <w:bCs/>
          <w:lang w:eastAsia="en-GB"/>
        </w:rPr>
      </w:pPr>
      <w:r w:rsidRPr="001174B3">
        <w:rPr>
          <w:rFonts w:eastAsia="Times New Roman"/>
          <w:b w:val="0"/>
          <w:bCs/>
          <w:lang w:eastAsia="en-GB"/>
        </w:rPr>
        <w:lastRenderedPageBreak/>
        <w:t>The clinical activities recommended by the Abtrace tool are based upon coded information within a patient’s electronic health record (EHR) and relevant guideline(s) as outlined at https://help.abtrace.co/monitoring-rules. All codes are based on SNOMED, DM+D, and QOF codes which are updated from a centralised dataset.</w:t>
      </w:r>
    </w:p>
    <w:p w14:paraId="272526F7" w14:textId="77777777" w:rsidR="00A54A63" w:rsidRPr="001174B3" w:rsidRDefault="00A54A63" w:rsidP="00A54A63">
      <w:pPr>
        <w:pStyle w:val="sectionheading"/>
        <w:rPr>
          <w:rFonts w:eastAsia="Times New Roman"/>
          <w:b w:val="0"/>
          <w:bCs/>
          <w:lang w:eastAsia="en-GB"/>
        </w:rPr>
      </w:pPr>
      <w:r w:rsidRPr="001174B3">
        <w:rPr>
          <w:rFonts w:eastAsia="Times New Roman"/>
          <w:b w:val="0"/>
          <w:bCs/>
          <w:lang w:eastAsia="en-GB"/>
        </w:rPr>
        <w:t xml:space="preserve"> </w:t>
      </w:r>
    </w:p>
    <w:p w14:paraId="575498C3" w14:textId="77777777" w:rsidR="00A54A63" w:rsidRPr="001174B3" w:rsidRDefault="00A54A63" w:rsidP="00A54A63">
      <w:pPr>
        <w:pStyle w:val="sectionheading"/>
        <w:rPr>
          <w:rFonts w:eastAsia="Times New Roman"/>
          <w:b w:val="0"/>
          <w:bCs/>
          <w:lang w:eastAsia="en-GB"/>
        </w:rPr>
      </w:pPr>
      <w:r w:rsidRPr="001174B3">
        <w:rPr>
          <w:rFonts w:eastAsia="Times New Roman"/>
          <w:b w:val="0"/>
          <w:bCs/>
          <w:lang w:eastAsia="en-GB"/>
        </w:rPr>
        <w:t>This is a modular system, which offers support to clinicians and administrative staff in identifying and undertaking clinical activity required for the ongoing management of patients within primary care, according to clinical practice guidelines. It will enable clinical actions required to support disease management, prevention and screening to meet quality indicators.</w:t>
      </w:r>
    </w:p>
    <w:p w14:paraId="38235AAA" w14:textId="6375522B" w:rsidR="00A54A63" w:rsidRPr="002867E2" w:rsidRDefault="00A54A63" w:rsidP="00A54A63">
      <w:pPr>
        <w:pStyle w:val="sectionheading"/>
        <w:rPr>
          <w:rFonts w:eastAsia="Times New Roman"/>
          <w:b w:val="0"/>
          <w:bCs/>
          <w:lang w:eastAsia="en-GB"/>
        </w:rPr>
      </w:pPr>
      <w:r w:rsidRPr="001174B3">
        <w:rPr>
          <w:rFonts w:eastAsia="Times New Roman"/>
          <w:b w:val="0"/>
          <w:bCs/>
          <w:lang w:eastAsia="en-GB"/>
        </w:rPr>
        <w:t>Individual GP practices are the source of data and Data Controllers. Abtrace is the Data processor and data is stored in Abtrace’s Amazon Web Services (AWS) servers (eu-west-2,</w:t>
      </w:r>
    </w:p>
    <w:p w14:paraId="355B5030" w14:textId="7034631A"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are </w:t>
      </w:r>
      <w:r w:rsidR="001E66A5" w:rsidRPr="00E33299">
        <w:t>a</w:t>
      </w:r>
      <w:r w:rsidRPr="00E33299">
        <w:t xml:space="preserve">ble to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r w:rsidR="001E66A5" w:rsidRPr="00E33299">
        <w:t>are</w:t>
      </w:r>
      <w:r w:rsidRPr="00E33299">
        <w:t xml:space="preserve"> able to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 xml:space="preserve">Working as part of a network rather than a stand-alone business means that the GP Practices in our PCN can share expertise and resources which means that we can offer a wide range of services to suit the needs of our local </w:t>
      </w:r>
      <w:r w:rsidRPr="00E33299">
        <w:rPr>
          <w:lang w:eastAsia="en-GB"/>
        </w:rPr>
        <w:lastRenderedPageBreak/>
        <w:t>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South Western Ambulance Service</w:t>
      </w:r>
      <w:r w:rsidR="001F21BD" w:rsidRPr="00E33299">
        <w:rPr>
          <w:rFonts w:eastAsia="Times New Roman" w:cstheme="minorHAnsi"/>
          <w:sz w:val="20"/>
          <w:szCs w:val="20"/>
          <w:lang w:eastAsia="en-GB"/>
        </w:rPr>
        <w:t xml:space="preserve"> NHS Foundation Trust</w:t>
      </w:r>
      <w:r w:rsidR="00B444BF" w:rsidRPr="00E33299">
        <w:rPr>
          <w:rFonts w:eastAsia="Times New Roman" w:cstheme="minorHAnsi"/>
          <w:sz w:val="20"/>
          <w:szCs w:val="20"/>
          <w:lang w:eastAsia="en-GB"/>
        </w:rPr>
        <w:t>;</w:t>
      </w:r>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Council, and Dorset Council</w:t>
      </w:r>
      <w:r w:rsidR="00B444BF" w:rsidRPr="00E33299">
        <w:rPr>
          <w:rFonts w:eastAsia="Times New Roman" w:cstheme="minorHAnsi"/>
          <w:sz w:val="20"/>
          <w:szCs w:val="20"/>
          <w:lang w:eastAsia="en-GB"/>
        </w:rPr>
        <w:t>;</w:t>
      </w:r>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Public Health Dorset</w:t>
      </w:r>
      <w:r w:rsidR="001F21BD" w:rsidRPr="00E33299">
        <w:rPr>
          <w:rFonts w:eastAsia="Times New Roman" w:cstheme="minorHAnsi"/>
          <w:sz w:val="20"/>
          <w:szCs w:val="20"/>
          <w:lang w:eastAsia="en-GB"/>
        </w:rPr>
        <w:t>;</w:t>
      </w:r>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have a ‘Dorset Intelligence and Insight’ (DiiS) Business Intelligence platform which uses pseudonymised data to reveal important insights into local and community health care, in order to inform the future of health care for communities. </w:t>
      </w:r>
      <w:r w:rsidR="00B444BF" w:rsidRPr="00E33299">
        <w:t xml:space="preserve"> </w:t>
      </w:r>
      <w:r w:rsidR="002F6FBB" w:rsidRPr="00E33299">
        <w:t xml:space="preserve">Information is pseudonymised so that when a new service is introduced to help with a particular long term condition in a particular community, the Practice can ask for any of their own patients to be re-identified from the data in order to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w:t>
      </w:r>
      <w:r w:rsidR="00FC14E0" w:rsidRPr="00E33299">
        <w:lastRenderedPageBreak/>
        <w:t xml:space="preserve">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r w:rsidR="001E6581" w:rsidRPr="00E33299">
          <w:rPr>
            <w:rStyle w:val="Hyperlink"/>
          </w:rPr>
          <w:t>In</w:t>
        </w:r>
        <w:r w:rsidRPr="00E33299">
          <w:rPr>
            <w:rStyle w:val="Hyperlink"/>
          </w:rPr>
          <w:t>Health Intelligence</w:t>
        </w:r>
      </w:hyperlink>
      <w:r w:rsidRPr="00E33299">
        <w:t xml:space="preserve"> in order to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E33299">
        <w:t xml:space="preserve"> </w:t>
      </w:r>
      <w:r w:rsidRPr="00E33299">
        <w:t xml:space="preserve">Healthy.io are required to hold data we send them in line with retention periods outlined in the Records 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13C898C6" w14:textId="77777777" w:rsidR="00C16838" w:rsidRPr="00C16838" w:rsidRDefault="00C16838" w:rsidP="00C16838">
      <w:pPr>
        <w:rPr>
          <w:rFonts w:cstheme="minorHAnsi"/>
          <w:b/>
          <w:bCs/>
          <w:sz w:val="20"/>
          <w:szCs w:val="20"/>
        </w:rPr>
      </w:pPr>
      <w:r w:rsidRPr="00C16838">
        <w:rPr>
          <w:rFonts w:cstheme="minorHAnsi"/>
          <w:b/>
          <w:bCs/>
          <w:sz w:val="20"/>
          <w:szCs w:val="20"/>
        </w:rPr>
        <w:t>Infected Blood Compensation Authority</w:t>
      </w:r>
    </w:p>
    <w:p w14:paraId="3570786E" w14:textId="09515A4E" w:rsidR="00C16838" w:rsidRPr="00E33299" w:rsidRDefault="00C16838" w:rsidP="00B31F18">
      <w:pPr>
        <w:pStyle w:val="Para"/>
      </w:pPr>
      <w:r w:rsidRPr="00C16838">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C16838">
          <w:rPr>
            <w:rStyle w:val="Hyperlink"/>
          </w:rPr>
          <w:t>privacy notice</w:t>
        </w:r>
      </w:hyperlink>
      <w:r w:rsidRPr="00C16838">
        <w:t xml:space="preserve">. Further information for patients about sharing your information with IBCA can also be found </w:t>
      </w:r>
      <w:hyperlink r:id="rId31" w:history="1">
        <w:r w:rsidRPr="00C16838">
          <w:rPr>
            <w:rStyle w:val="Hyperlink"/>
          </w:rPr>
          <w:t>here</w:t>
        </w:r>
      </w:hyperlink>
      <w:r w:rsidRPr="00C16838">
        <w:t>.</w:t>
      </w:r>
    </w:p>
    <w:bookmarkEnd w:id="8"/>
    <w:p w14:paraId="7A1A6C6C" w14:textId="4EE63AC4" w:rsidR="00BE1535" w:rsidRPr="00E33299" w:rsidRDefault="00BE1535" w:rsidP="00BE1535">
      <w:pPr>
        <w:rPr>
          <w:rFonts w:cstheme="minorHAnsi"/>
          <w:sz w:val="20"/>
          <w:szCs w:val="20"/>
        </w:rPr>
      </w:pPr>
      <w:r w:rsidRPr="00E33299">
        <w:rPr>
          <w:rFonts w:cstheme="minorHAnsi"/>
          <w:b/>
          <w:bCs/>
          <w:sz w:val="20"/>
          <w:szCs w:val="20"/>
        </w:rPr>
        <w:t>InHealthcare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InHealthcare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 xml:space="preserve">A </w:t>
      </w:r>
      <w:r w:rsidRPr="00E33299">
        <w:rPr>
          <w:lang w:eastAsia="en-GB"/>
        </w:rPr>
        <w:lastRenderedPageBreak/>
        <w:t>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in order to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558A3E3B" w14:textId="77777777" w:rsidR="001210C0" w:rsidRPr="00CD157A" w:rsidRDefault="001210C0" w:rsidP="001210C0">
      <w:pPr>
        <w:pStyle w:val="ListParagraph"/>
        <w:numPr>
          <w:ilvl w:val="0"/>
          <w:numId w:val="8"/>
        </w:numPr>
        <w:spacing w:after="0" w:line="240" w:lineRule="auto"/>
        <w:textAlignment w:val="baseline"/>
        <w:rPr>
          <w:rFonts w:ascii="Calibri" w:eastAsia="Times New Roman" w:hAnsi="Calibri" w:cs="Calibri"/>
          <w:sz w:val="20"/>
          <w:szCs w:val="20"/>
          <w:lang w:eastAsia="zh-CN"/>
        </w:rPr>
      </w:pPr>
      <w:r w:rsidRPr="00CD157A">
        <w:rPr>
          <w:rFonts w:ascii="Calibri" w:eastAsia="Times New Roman" w:hAnsi="Calibri" w:cs="Calibri"/>
          <w:b/>
          <w:bCs/>
          <w:sz w:val="20"/>
          <w:szCs w:val="20"/>
          <w:lang w:eastAsia="zh-CN"/>
        </w:rPr>
        <w:t>Risk Stratification:</w:t>
      </w:r>
      <w:r w:rsidRPr="00CD157A">
        <w:rPr>
          <w:rFonts w:ascii="Calibri" w:eastAsia="Times New Roman" w:hAnsi="Calibri" w:cs="Calibri"/>
          <w:sz w:val="20"/>
          <w:szCs w:val="20"/>
          <w:lang w:eastAsia="zh-CN"/>
        </w:rPr>
        <w:t xml:space="preserve">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using software managed by the Dorset Intelligence &amp; Insight Service (DiiS) and is only provided back to your GP as data controller in an identifiable form.   </w:t>
      </w:r>
    </w:p>
    <w:p w14:paraId="33824369" w14:textId="77777777" w:rsidR="001210C0" w:rsidRPr="00CD157A" w:rsidRDefault="001210C0" w:rsidP="001210C0">
      <w:pPr>
        <w:spacing w:after="0" w:line="240" w:lineRule="auto"/>
        <w:textAlignment w:val="baseline"/>
        <w:rPr>
          <w:rFonts w:ascii="Calibri" w:eastAsia="Times New Roman" w:hAnsi="Calibri" w:cs="Calibri"/>
          <w:sz w:val="20"/>
          <w:szCs w:val="20"/>
          <w:lang w:eastAsia="zh-CN"/>
        </w:rPr>
      </w:pPr>
    </w:p>
    <w:p w14:paraId="072E4165" w14:textId="37E70413" w:rsidR="009B478F" w:rsidRPr="001210C0" w:rsidRDefault="001210C0" w:rsidP="001210C0">
      <w:pPr>
        <w:spacing w:after="0" w:line="240" w:lineRule="auto"/>
        <w:ind w:left="720"/>
        <w:textAlignment w:val="baseline"/>
        <w:rPr>
          <w:rFonts w:cstheme="minorHAnsi"/>
          <w:sz w:val="20"/>
          <w:szCs w:val="20"/>
        </w:rPr>
      </w:pPr>
      <w:r w:rsidRPr="00CD157A">
        <w:rPr>
          <w:rFonts w:ascii="Calibri" w:eastAsia="Times New Roman" w:hAnsi="Calibri" w:cs="Calibri"/>
          <w:sz w:val="20"/>
          <w:szCs w:val="20"/>
          <w:lang w:eastAsia="zh-CN"/>
        </w:rPr>
        <w:t>Through the NHS-owned and locally developed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provide risk stratification of this data which enables your GP to focus on preventing ill health and not just the treatment of sickness.  If necessary, your GP may be able to offer you additional services including social prescribing.  You have a 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purposes.</w:t>
      </w:r>
      <w:r w:rsidRPr="00CD157A">
        <w:rPr>
          <w:rFonts w:cstheme="minorHAnsi"/>
          <w:b/>
          <w:sz w:val="20"/>
          <w:szCs w:val="20"/>
        </w:rPr>
        <w:t>National Archiving:</w:t>
      </w:r>
      <w:r w:rsidRPr="00CD157A">
        <w:rPr>
          <w:rFonts w:cstheme="minorHAnsi"/>
          <w:sz w:val="20"/>
          <w:szCs w:val="20"/>
        </w:rPr>
        <w:t xml:space="preserve"> records made by an NHS organisation are Public </w:t>
      </w:r>
      <w:r w:rsidRPr="00CD157A">
        <w:rPr>
          <w:rFonts w:cstheme="minorHAnsi"/>
          <w:sz w:val="20"/>
          <w:szCs w:val="20"/>
        </w:rPr>
        <w:lastRenderedPageBreak/>
        <w:t>Records in accordance with Schedule 1 of the Public Records Act 1958.  The Public Records Act 1958 requires organisations to select core records for permanent preservation at the relevant Place of Deposit (PoD) appointed by the Secretary of State for Culture, Media and Sport.  PoDs are usually public archive services 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PoD in advance to ensure that technical issues can be resolved.  Records no longer required for current service provision may be temporarily retained pending transfer to a PoD and records containing sensitive personal data should not normally be transferred early.</w:t>
      </w:r>
    </w:p>
    <w:p w14:paraId="0D3F5B85" w14:textId="0118DCA0" w:rsidR="008A30D9" w:rsidRPr="00E33299" w:rsidRDefault="005D18D2" w:rsidP="002871B7">
      <w:pPr>
        <w:pStyle w:val="ListParagraph"/>
        <w:numPr>
          <w:ilvl w:val="0"/>
          <w:numId w:val="8"/>
        </w:numPr>
        <w:spacing w:line="240" w:lineRule="auto"/>
        <w:rPr>
          <w:rFonts w:cstheme="minorHAnsi"/>
          <w:sz w:val="20"/>
          <w:szCs w:val="20"/>
        </w:rPr>
      </w:pPr>
      <w:r w:rsidRPr="00E33299">
        <w:rPr>
          <w:rFonts w:cstheme="minorHAnsi"/>
          <w:b/>
          <w:sz w:val="20"/>
          <w:szCs w:val="20"/>
        </w:rPr>
        <w:t>National A</w:t>
      </w:r>
      <w:r w:rsidR="005D6580" w:rsidRPr="00E33299">
        <w:rPr>
          <w:rFonts w:cstheme="minorHAnsi"/>
          <w:b/>
          <w:sz w:val="20"/>
          <w:szCs w:val="20"/>
        </w:rPr>
        <w:t>rchiving:</w:t>
      </w:r>
      <w:r w:rsidR="005D6580" w:rsidRPr="00E33299">
        <w:rPr>
          <w:rFonts w:cstheme="minorHAnsi"/>
          <w:sz w:val="20"/>
          <w:szCs w:val="20"/>
        </w:rPr>
        <w:t xml:space="preserve"> records made by an NHS organisation are Public Records in accordance with Schedule 1 of the Public Records Act 1958. </w:t>
      </w:r>
      <w:r w:rsidR="005D4326" w:rsidRPr="00E33299">
        <w:rPr>
          <w:rFonts w:cstheme="minorHAnsi"/>
          <w:sz w:val="20"/>
          <w:szCs w:val="20"/>
        </w:rPr>
        <w:t xml:space="preserve"> </w:t>
      </w:r>
      <w:r w:rsidR="004A5A68" w:rsidRPr="00E33299">
        <w:rPr>
          <w:rFonts w:cstheme="minorHAnsi"/>
          <w:sz w:val="20"/>
          <w:szCs w:val="20"/>
        </w:rPr>
        <w:t xml:space="preserve">The Public Records Act 1958 requires organisations to select core records for permanent preservation at the relevant Place of Deposit </w:t>
      </w:r>
      <w:r w:rsidR="005D4326" w:rsidRPr="00E33299">
        <w:rPr>
          <w:rFonts w:cstheme="minorHAnsi"/>
          <w:sz w:val="20"/>
          <w:szCs w:val="20"/>
        </w:rPr>
        <w:t xml:space="preserve">(PoD) </w:t>
      </w:r>
      <w:r w:rsidR="004A5A68" w:rsidRPr="00E33299">
        <w:rPr>
          <w:rFonts w:cstheme="minorHAnsi"/>
          <w:sz w:val="20"/>
          <w:szCs w:val="20"/>
        </w:rPr>
        <w:t>appointed by the Secretary of State for Culture, Media and Sport.</w:t>
      </w:r>
      <w:r w:rsidR="005D4326" w:rsidRPr="00E33299">
        <w:rPr>
          <w:rFonts w:cstheme="minorHAnsi"/>
          <w:sz w:val="20"/>
          <w:szCs w:val="20"/>
        </w:rPr>
        <w:t xml:space="preserve"> </w:t>
      </w:r>
      <w:r w:rsidR="004A5A68" w:rsidRPr="00E33299">
        <w:rPr>
          <w:rFonts w:cstheme="minorHAnsi"/>
          <w:sz w:val="20"/>
          <w:szCs w:val="20"/>
        </w:rPr>
        <w:t xml:space="preserve"> PoDs are usually public archive services provided by the relevant local authority. </w:t>
      </w:r>
      <w:r w:rsidR="005D4326" w:rsidRPr="00E33299">
        <w:rPr>
          <w:rFonts w:cstheme="minorHAnsi"/>
          <w:sz w:val="20"/>
          <w:szCs w:val="20"/>
        </w:rPr>
        <w:t xml:space="preserve"> </w:t>
      </w:r>
      <w:r w:rsidR="004A5A68" w:rsidRPr="00E3329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33299">
        <w:rPr>
          <w:rFonts w:cstheme="minorHAnsi"/>
          <w:sz w:val="20"/>
          <w:szCs w:val="20"/>
        </w:rPr>
        <w:t xml:space="preserve"> </w:t>
      </w:r>
      <w:r w:rsidR="004A5A68" w:rsidRPr="00E33299">
        <w:rPr>
          <w:rFonts w:cstheme="minorHAnsi"/>
          <w:sz w:val="20"/>
          <w:szCs w:val="20"/>
        </w:rPr>
        <w:t xml:space="preserve">Potential transfers of digital records should be discussed with the PoD in advance to ensure that technical issues can be resolved. </w:t>
      </w:r>
      <w:r w:rsidR="005D4326" w:rsidRPr="00E33299">
        <w:rPr>
          <w:rFonts w:cstheme="minorHAnsi"/>
          <w:sz w:val="20"/>
          <w:szCs w:val="20"/>
        </w:rPr>
        <w:t xml:space="preserve"> </w:t>
      </w:r>
      <w:r w:rsidR="004A5A68" w:rsidRPr="00E33299">
        <w:rPr>
          <w:rFonts w:cstheme="minorHAnsi"/>
          <w:sz w:val="20"/>
          <w:szCs w:val="20"/>
        </w:rPr>
        <w:t>Records no longer required for current service provision may be temporarily retained pending transfer to a PoD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s on NHS performance</w:t>
      </w:r>
      <w:r w:rsidRPr="00E33299">
        <w:rPr>
          <w:rFonts w:cstheme="minorHAnsi"/>
          <w:sz w:val="20"/>
          <w:szCs w:val="20"/>
        </w:rPr>
        <w:t>;</w:t>
      </w:r>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nationally</w:t>
      </w:r>
      <w:r w:rsidRPr="00E33299">
        <w:rPr>
          <w:rFonts w:cstheme="minorHAnsi"/>
          <w:sz w:val="20"/>
          <w:szCs w:val="20"/>
        </w:rPr>
        <w:t>;</w:t>
      </w:r>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onitor how we spend public money</w:t>
      </w:r>
      <w:r w:rsidRPr="00E33299">
        <w:rPr>
          <w:rFonts w:cstheme="minorHAnsi"/>
          <w:sz w:val="20"/>
          <w:szCs w:val="20"/>
        </w:rPr>
        <w:t>;</w:t>
      </w:r>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lan and manage health services for the population of Dorset</w:t>
      </w:r>
      <w:r w:rsidRPr="00E33299">
        <w:rPr>
          <w:rFonts w:cstheme="minorHAnsi"/>
          <w:sz w:val="20"/>
          <w:szCs w:val="20"/>
        </w:rPr>
        <w:t>;</w:t>
      </w:r>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The Practice does not routinely transfer data outside of the European Economic Area and will assess any adhoc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lastRenderedPageBreak/>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where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opt-out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if the request is complex or we have received a number of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r w:rsidRPr="00E33299">
        <w:rPr>
          <w:lang w:eastAsia="en-GB"/>
        </w:rPr>
        <w:t xml:space="preserve">carer,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7EEB863F" w14:textId="77777777" w:rsidR="00DF65E5" w:rsidRPr="00A900E1" w:rsidRDefault="00DF65E5" w:rsidP="00DF65E5">
      <w:pPr>
        <w:pStyle w:val="Para"/>
        <w:rPr>
          <w:b/>
          <w:bCs/>
          <w:lang w:eastAsia="en-GB"/>
        </w:rPr>
      </w:pPr>
      <w:r>
        <w:rPr>
          <w:lang w:eastAsia="en-GB"/>
        </w:rPr>
        <w:t>The Grove Surgery on 01202 481192</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We will provide this information free of charge however, we may in some limited and exceptional circumstances have to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lastRenderedPageBreak/>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accuracy of the data is contested;</w:t>
      </w:r>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Commissioner</w:t>
      </w:r>
      <w:r w:rsidRPr="00E33299">
        <w:rPr>
          <w:rFonts w:eastAsia="Times New Roman" w:cstheme="minorHAnsi"/>
          <w:sz w:val="20"/>
          <w:szCs w:val="20"/>
          <w:lang w:eastAsia="en-GB"/>
        </w:rPr>
        <w:t>;</w:t>
      </w:r>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time period,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lastRenderedPageBreak/>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"processing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lastRenderedPageBreak/>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"processing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9(2)(i):</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anonymised it is not considered to be personal data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"the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"the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few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"should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Our Practice upholds transparency and fairness through the use of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2EF91A7B"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1210C0">
      <w:rPr>
        <w:color w:val="7F7F7F" w:themeColor="background1" w:themeShade="7F"/>
        <w:spacing w:val="60"/>
      </w:rPr>
      <w:t>5</w:t>
    </w:r>
  </w:p>
  <w:p w14:paraId="10E1A498" w14:textId="4AB5CD05"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1210C0">
      <w:rPr>
        <w:color w:val="7F7F7F" w:themeColor="background1" w:themeShade="7F"/>
        <w:spacing w:val="60"/>
      </w:rPr>
      <w:t>April</w:t>
    </w:r>
    <w:r>
      <w:rPr>
        <w:color w:val="7F7F7F" w:themeColor="background1" w:themeShade="7F"/>
        <w:spacing w:val="60"/>
      </w:rPr>
      <w:t xml:space="preserve"> 202</w:t>
    </w:r>
    <w:r w:rsidR="001210C0">
      <w:rPr>
        <w:color w:val="7F7F7F" w:themeColor="background1" w:themeShade="7F"/>
        <w:spacing w:val="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B5C"/>
    <w:rsid w:val="00055DB8"/>
    <w:rsid w:val="000578E8"/>
    <w:rsid w:val="0006050A"/>
    <w:rsid w:val="0006684E"/>
    <w:rsid w:val="00083C55"/>
    <w:rsid w:val="00087F54"/>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0C0"/>
    <w:rsid w:val="00121D08"/>
    <w:rsid w:val="00124E2D"/>
    <w:rsid w:val="001333CF"/>
    <w:rsid w:val="00134519"/>
    <w:rsid w:val="0014291E"/>
    <w:rsid w:val="00163A79"/>
    <w:rsid w:val="00167D00"/>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713B"/>
    <w:rsid w:val="005D0675"/>
    <w:rsid w:val="005D18D2"/>
    <w:rsid w:val="005D4326"/>
    <w:rsid w:val="005D6580"/>
    <w:rsid w:val="005E43CD"/>
    <w:rsid w:val="005E4FD9"/>
    <w:rsid w:val="005F423F"/>
    <w:rsid w:val="00604B4A"/>
    <w:rsid w:val="00604D7D"/>
    <w:rsid w:val="00614B8F"/>
    <w:rsid w:val="00615B3B"/>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BDD"/>
    <w:rsid w:val="006E6345"/>
    <w:rsid w:val="006F2C83"/>
    <w:rsid w:val="006F564C"/>
    <w:rsid w:val="006F598E"/>
    <w:rsid w:val="00700691"/>
    <w:rsid w:val="007019BE"/>
    <w:rsid w:val="00704ABA"/>
    <w:rsid w:val="00707E02"/>
    <w:rsid w:val="007160A9"/>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10CE8"/>
    <w:rsid w:val="00922DFC"/>
    <w:rsid w:val="00924103"/>
    <w:rsid w:val="0092435F"/>
    <w:rsid w:val="009272FA"/>
    <w:rsid w:val="00927E0A"/>
    <w:rsid w:val="00932D50"/>
    <w:rsid w:val="009335A2"/>
    <w:rsid w:val="009531B2"/>
    <w:rsid w:val="009568BD"/>
    <w:rsid w:val="00961698"/>
    <w:rsid w:val="009742F1"/>
    <w:rsid w:val="009954B6"/>
    <w:rsid w:val="009B478F"/>
    <w:rsid w:val="009C114A"/>
    <w:rsid w:val="009C60E7"/>
    <w:rsid w:val="009D61B2"/>
    <w:rsid w:val="009D6C3D"/>
    <w:rsid w:val="009E171C"/>
    <w:rsid w:val="009E5469"/>
    <w:rsid w:val="009F145E"/>
    <w:rsid w:val="009F514A"/>
    <w:rsid w:val="00A03922"/>
    <w:rsid w:val="00A13660"/>
    <w:rsid w:val="00A175BC"/>
    <w:rsid w:val="00A27F29"/>
    <w:rsid w:val="00A32D93"/>
    <w:rsid w:val="00A41500"/>
    <w:rsid w:val="00A51E56"/>
    <w:rsid w:val="00A547C8"/>
    <w:rsid w:val="00A54A63"/>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D4033"/>
    <w:rsid w:val="00BD6626"/>
    <w:rsid w:val="00BE1535"/>
    <w:rsid w:val="00BE39AA"/>
    <w:rsid w:val="00BF2696"/>
    <w:rsid w:val="00C040F5"/>
    <w:rsid w:val="00C04795"/>
    <w:rsid w:val="00C1032E"/>
    <w:rsid w:val="00C146FB"/>
    <w:rsid w:val="00C16838"/>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67D1"/>
    <w:rsid w:val="00CF7273"/>
    <w:rsid w:val="00D10362"/>
    <w:rsid w:val="00D165D5"/>
    <w:rsid w:val="00D201B7"/>
    <w:rsid w:val="00D27EB2"/>
    <w:rsid w:val="00D30EDD"/>
    <w:rsid w:val="00D347CF"/>
    <w:rsid w:val="00D347D0"/>
    <w:rsid w:val="00D3732F"/>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DF65E5"/>
    <w:rsid w:val="00E01A00"/>
    <w:rsid w:val="00E021F9"/>
    <w:rsid w:val="00E11023"/>
    <w:rsid w:val="00E11898"/>
    <w:rsid w:val="00E14B67"/>
    <w:rsid w:val="00E17A04"/>
    <w:rsid w:val="00E236E1"/>
    <w:rsid w:val="00E33299"/>
    <w:rsid w:val="00E44822"/>
    <w:rsid w:val="00E5021D"/>
    <w:rsid w:val="00E50B79"/>
    <w:rsid w:val="00E52C25"/>
    <w:rsid w:val="00E56D19"/>
    <w:rsid w:val="00E62B80"/>
    <w:rsid w:val="00E65DD8"/>
    <w:rsid w:val="00E74D80"/>
    <w:rsid w:val="00E75CB0"/>
    <w:rsid w:val="00E80A68"/>
    <w:rsid w:val="00E8544E"/>
    <w:rsid w:val="00E8592A"/>
    <w:rsid w:val="00E86F40"/>
    <w:rsid w:val="00E95AAB"/>
    <w:rsid w:val="00E977FC"/>
    <w:rsid w:val="00EA1BBA"/>
    <w:rsid w:val="00EA64BF"/>
    <w:rsid w:val="00EC7859"/>
    <w:rsid w:val="00ED300A"/>
    <w:rsid w:val="00ED7FFE"/>
    <w:rsid w:val="00EE217E"/>
    <w:rsid w:val="00EF0D67"/>
    <w:rsid w:val="00EF25F4"/>
    <w:rsid w:val="00EF39C3"/>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D5C11"/>
    <w:rsid w:val="00FE31AB"/>
    <w:rsid w:val="00FE5CA7"/>
    <w:rsid w:val="00FF0592"/>
    <w:rsid w:val="00FF2BB5"/>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55367449">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50001">
      <w:bodyDiv w:val="1"/>
      <w:marLeft w:val="0"/>
      <w:marRight w:val="0"/>
      <w:marTop w:val="0"/>
      <w:marBottom w:val="0"/>
      <w:divBdr>
        <w:top w:val="none" w:sz="0" w:space="0" w:color="auto"/>
        <w:left w:val="none" w:sz="0" w:space="0" w:color="auto"/>
        <w:bottom w:val="none" w:sz="0" w:space="0" w:color="auto"/>
        <w:right w:val="none" w:sz="0" w:space="0" w:color="auto"/>
      </w:divBdr>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ve.surgerychristchurch@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2.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8256</Words>
  <Characters>46835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7</cp:revision>
  <dcterms:created xsi:type="dcterms:W3CDTF">2025-06-03T09:18:00Z</dcterms:created>
  <dcterms:modified xsi:type="dcterms:W3CDTF">2026-05-12T12:10:00Z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4700a75e-6554-4373-b4e7-95e616eed494</vt:lpwstr>
  </property>
</Properties>
</file>