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36"/>
        <w:gridCol w:w="5557"/>
        <w:gridCol w:w="5557"/>
        <w:gridCol w:w="5557"/>
        <w:gridCol w:w="5557"/>
      </w:tblGrid>
      <w:tr w:rsidR="00EF3B76" w:rsidRPr="00E33299" w14:paraId="1AD8A2AB" w14:textId="77777777" w:rsidTr="00EF3B76">
        <w:tc>
          <w:tcPr>
            <w:tcW w:w="4508" w:type="dxa"/>
          </w:tcPr>
          <w:p w14:paraId="2D79A38C" w14:textId="55E39CC7" w:rsidR="00EF3B76" w:rsidRPr="00E33299" w:rsidRDefault="00EF3B76" w:rsidP="00EF3B76">
            <w:pPr>
              <w:rPr>
                <w:rFonts w:cstheme="minorHAnsi"/>
                <w:b/>
                <w:sz w:val="20"/>
                <w:szCs w:val="20"/>
              </w:rPr>
            </w:pPr>
            <w:r w:rsidRPr="00E33299">
              <w:rPr>
                <w:rFonts w:cstheme="minorHAnsi"/>
                <w:sz w:val="20"/>
                <w:szCs w:val="20"/>
              </w:rPr>
              <w:t>Practice Name</w:t>
            </w:r>
          </w:p>
        </w:tc>
        <w:tc>
          <w:tcPr>
            <w:tcW w:w="4836" w:type="dxa"/>
          </w:tcPr>
          <w:p w14:paraId="459C0770" w14:textId="74E7E0A3" w:rsidR="00EF3B76" w:rsidRPr="00E33299" w:rsidRDefault="00EF3B76" w:rsidP="00EF3B76">
            <w:pPr>
              <w:rPr>
                <w:rFonts w:cstheme="minorHAnsi"/>
                <w:sz w:val="20"/>
                <w:szCs w:val="20"/>
              </w:rPr>
            </w:pPr>
            <w:r>
              <w:rPr>
                <w:rFonts w:cstheme="minorHAnsi"/>
                <w:sz w:val="20"/>
                <w:szCs w:val="20"/>
              </w:rPr>
              <w:t>Woodlea House Surgery</w:t>
            </w:r>
          </w:p>
        </w:tc>
        <w:tc>
          <w:tcPr>
            <w:tcW w:w="5557" w:type="dxa"/>
          </w:tcPr>
          <w:p w14:paraId="72CB71BC" w14:textId="68D4C525" w:rsidR="00EF3B76" w:rsidRPr="00E33299" w:rsidRDefault="00EF3B76" w:rsidP="00EF3B76">
            <w:pPr>
              <w:rPr>
                <w:rFonts w:cstheme="minorHAnsi"/>
                <w:sz w:val="20"/>
                <w:szCs w:val="20"/>
              </w:rPr>
            </w:pPr>
          </w:p>
        </w:tc>
        <w:tc>
          <w:tcPr>
            <w:tcW w:w="5557" w:type="dxa"/>
          </w:tcPr>
          <w:p w14:paraId="3EFAFF9C" w14:textId="20E45632" w:rsidR="00EF3B76" w:rsidRPr="00E33299" w:rsidRDefault="00EF3B76" w:rsidP="00EF3B76">
            <w:pPr>
              <w:rPr>
                <w:rFonts w:cstheme="minorHAnsi"/>
                <w:sz w:val="20"/>
                <w:szCs w:val="20"/>
              </w:rPr>
            </w:pPr>
          </w:p>
        </w:tc>
        <w:tc>
          <w:tcPr>
            <w:tcW w:w="5557" w:type="dxa"/>
          </w:tcPr>
          <w:p w14:paraId="72ECDB0E" w14:textId="105C4620" w:rsidR="00EF3B76" w:rsidRPr="00E33299" w:rsidRDefault="00EF3B76" w:rsidP="00EF3B76">
            <w:pPr>
              <w:rPr>
                <w:rFonts w:cstheme="minorHAnsi"/>
                <w:sz w:val="20"/>
                <w:szCs w:val="20"/>
              </w:rPr>
            </w:pPr>
          </w:p>
        </w:tc>
        <w:tc>
          <w:tcPr>
            <w:tcW w:w="5557" w:type="dxa"/>
          </w:tcPr>
          <w:p w14:paraId="2E840C4D" w14:textId="1038ED1B" w:rsidR="00EF3B76" w:rsidRPr="00E33299" w:rsidRDefault="00EF3B76" w:rsidP="00EF3B76">
            <w:pPr>
              <w:rPr>
                <w:rFonts w:cstheme="minorHAnsi"/>
                <w:sz w:val="20"/>
                <w:szCs w:val="20"/>
              </w:rPr>
            </w:pPr>
          </w:p>
        </w:tc>
      </w:tr>
      <w:tr w:rsidR="00EF3B76" w:rsidRPr="00E33299" w14:paraId="494A2F51" w14:textId="77777777" w:rsidTr="00EF3B76">
        <w:tc>
          <w:tcPr>
            <w:tcW w:w="4508" w:type="dxa"/>
          </w:tcPr>
          <w:p w14:paraId="31C5202B" w14:textId="4D64E4FC" w:rsidR="00EF3B76" w:rsidRPr="00E33299" w:rsidRDefault="00EF3B76" w:rsidP="00EF3B76">
            <w:pPr>
              <w:rPr>
                <w:rFonts w:cstheme="minorHAnsi"/>
                <w:sz w:val="20"/>
                <w:szCs w:val="20"/>
              </w:rPr>
            </w:pPr>
            <w:r w:rsidRPr="00E33299">
              <w:rPr>
                <w:rFonts w:cstheme="minorHAnsi"/>
                <w:sz w:val="20"/>
                <w:szCs w:val="20"/>
              </w:rPr>
              <w:t>Address</w:t>
            </w:r>
          </w:p>
        </w:tc>
        <w:tc>
          <w:tcPr>
            <w:tcW w:w="4836" w:type="dxa"/>
          </w:tcPr>
          <w:p w14:paraId="6ED0CC5D" w14:textId="7EA1C360" w:rsidR="00EF3B76" w:rsidRPr="00E33299" w:rsidRDefault="00EF3B76" w:rsidP="00EF3B76">
            <w:pPr>
              <w:rPr>
                <w:rFonts w:cstheme="minorHAnsi"/>
                <w:sz w:val="20"/>
                <w:szCs w:val="20"/>
              </w:rPr>
            </w:pPr>
            <w:r>
              <w:rPr>
                <w:rFonts w:cstheme="minorHAnsi"/>
                <w:sz w:val="20"/>
                <w:szCs w:val="20"/>
              </w:rPr>
              <w:t xml:space="preserve">2A </w:t>
            </w:r>
            <w:proofErr w:type="spellStart"/>
            <w:r>
              <w:rPr>
                <w:rFonts w:cstheme="minorHAnsi"/>
                <w:sz w:val="20"/>
                <w:szCs w:val="20"/>
              </w:rPr>
              <w:t>Bradpole</w:t>
            </w:r>
            <w:proofErr w:type="spellEnd"/>
            <w:r w:rsidRPr="00400CDF">
              <w:rPr>
                <w:rFonts w:cstheme="minorHAnsi"/>
                <w:sz w:val="20"/>
                <w:szCs w:val="20"/>
              </w:rPr>
              <w:t xml:space="preserve"> Road </w:t>
            </w:r>
          </w:p>
        </w:tc>
        <w:tc>
          <w:tcPr>
            <w:tcW w:w="5557" w:type="dxa"/>
          </w:tcPr>
          <w:p w14:paraId="380ADDBB" w14:textId="0DD63C37" w:rsidR="00EF3B76" w:rsidRPr="00E33299" w:rsidRDefault="00EF3B76" w:rsidP="00EF3B76">
            <w:pPr>
              <w:rPr>
                <w:rFonts w:cstheme="minorHAnsi"/>
                <w:sz w:val="20"/>
                <w:szCs w:val="20"/>
              </w:rPr>
            </w:pPr>
          </w:p>
        </w:tc>
        <w:tc>
          <w:tcPr>
            <w:tcW w:w="5557" w:type="dxa"/>
          </w:tcPr>
          <w:p w14:paraId="583B1348" w14:textId="01D734A2" w:rsidR="00EF3B76" w:rsidRPr="00E33299" w:rsidRDefault="00EF3B76" w:rsidP="00EF3B76">
            <w:pPr>
              <w:rPr>
                <w:rFonts w:cstheme="minorHAnsi"/>
                <w:sz w:val="20"/>
                <w:szCs w:val="20"/>
              </w:rPr>
            </w:pPr>
          </w:p>
        </w:tc>
        <w:tc>
          <w:tcPr>
            <w:tcW w:w="5557" w:type="dxa"/>
          </w:tcPr>
          <w:p w14:paraId="291C9139" w14:textId="3E2CD02D" w:rsidR="00EF3B76" w:rsidRPr="00E33299" w:rsidRDefault="00EF3B76" w:rsidP="00EF3B76">
            <w:pPr>
              <w:rPr>
                <w:rFonts w:cstheme="minorHAnsi"/>
                <w:sz w:val="20"/>
                <w:szCs w:val="20"/>
              </w:rPr>
            </w:pPr>
          </w:p>
        </w:tc>
        <w:tc>
          <w:tcPr>
            <w:tcW w:w="5557" w:type="dxa"/>
          </w:tcPr>
          <w:p w14:paraId="726FE251" w14:textId="039C9569" w:rsidR="00EF3B76" w:rsidRPr="00E33299" w:rsidRDefault="00EF3B76" w:rsidP="00EF3B76">
            <w:pPr>
              <w:rPr>
                <w:rFonts w:cstheme="minorHAnsi"/>
                <w:sz w:val="20"/>
                <w:szCs w:val="20"/>
              </w:rPr>
            </w:pPr>
          </w:p>
        </w:tc>
      </w:tr>
      <w:tr w:rsidR="00EF3B76" w:rsidRPr="00E33299" w14:paraId="30F83EE1" w14:textId="77777777" w:rsidTr="00EF3B76">
        <w:tc>
          <w:tcPr>
            <w:tcW w:w="4508" w:type="dxa"/>
          </w:tcPr>
          <w:p w14:paraId="3EAE8103" w14:textId="1EB7F425" w:rsidR="00EF3B76" w:rsidRPr="00E33299" w:rsidRDefault="00EF3B76" w:rsidP="00EF3B76">
            <w:pPr>
              <w:rPr>
                <w:rFonts w:cstheme="minorHAnsi"/>
                <w:sz w:val="20"/>
                <w:szCs w:val="20"/>
              </w:rPr>
            </w:pPr>
            <w:r w:rsidRPr="00E33299">
              <w:rPr>
                <w:rFonts w:cstheme="minorHAnsi"/>
                <w:sz w:val="20"/>
                <w:szCs w:val="20"/>
              </w:rPr>
              <w:t>Phone number</w:t>
            </w:r>
          </w:p>
        </w:tc>
        <w:tc>
          <w:tcPr>
            <w:tcW w:w="4836" w:type="dxa"/>
          </w:tcPr>
          <w:p w14:paraId="4F9FFF0E" w14:textId="1ED124F3" w:rsidR="00EF3B76" w:rsidRPr="00E33299" w:rsidRDefault="00EF3B76" w:rsidP="00EF3B76">
            <w:pPr>
              <w:rPr>
                <w:rFonts w:cstheme="minorHAnsi"/>
                <w:sz w:val="20"/>
                <w:szCs w:val="20"/>
              </w:rPr>
            </w:pPr>
            <w:r w:rsidRPr="00400CDF">
              <w:rPr>
                <w:rFonts w:cstheme="minorHAnsi"/>
                <w:sz w:val="20"/>
                <w:szCs w:val="20"/>
              </w:rPr>
              <w:t xml:space="preserve">01202 </w:t>
            </w:r>
            <w:r>
              <w:rPr>
                <w:rFonts w:cstheme="minorHAnsi"/>
                <w:sz w:val="20"/>
                <w:szCs w:val="20"/>
              </w:rPr>
              <w:t>300903</w:t>
            </w:r>
            <w:r w:rsidRPr="00400CDF">
              <w:rPr>
                <w:rFonts w:cstheme="minorHAnsi"/>
                <w:sz w:val="20"/>
                <w:szCs w:val="20"/>
              </w:rPr>
              <w:t xml:space="preserve"> </w:t>
            </w:r>
          </w:p>
        </w:tc>
        <w:tc>
          <w:tcPr>
            <w:tcW w:w="5557" w:type="dxa"/>
          </w:tcPr>
          <w:p w14:paraId="6EF9E8B4" w14:textId="5B3D0970" w:rsidR="00EF3B76" w:rsidRPr="00E33299" w:rsidRDefault="00EF3B76" w:rsidP="00EF3B76">
            <w:pPr>
              <w:rPr>
                <w:rFonts w:cstheme="minorHAnsi"/>
                <w:sz w:val="20"/>
                <w:szCs w:val="20"/>
              </w:rPr>
            </w:pPr>
          </w:p>
        </w:tc>
        <w:tc>
          <w:tcPr>
            <w:tcW w:w="5557" w:type="dxa"/>
          </w:tcPr>
          <w:p w14:paraId="06052312" w14:textId="13E90F3A" w:rsidR="00EF3B76" w:rsidRPr="00E33299" w:rsidRDefault="00EF3B76" w:rsidP="00EF3B76">
            <w:pPr>
              <w:rPr>
                <w:rFonts w:cstheme="minorHAnsi"/>
                <w:sz w:val="20"/>
                <w:szCs w:val="20"/>
              </w:rPr>
            </w:pPr>
          </w:p>
        </w:tc>
        <w:tc>
          <w:tcPr>
            <w:tcW w:w="5557" w:type="dxa"/>
          </w:tcPr>
          <w:p w14:paraId="27DBCBD7" w14:textId="6D5F8F30" w:rsidR="00EF3B76" w:rsidRPr="00E33299" w:rsidRDefault="00EF3B76" w:rsidP="00EF3B76">
            <w:pPr>
              <w:rPr>
                <w:rFonts w:cstheme="minorHAnsi"/>
                <w:sz w:val="20"/>
                <w:szCs w:val="20"/>
              </w:rPr>
            </w:pPr>
          </w:p>
        </w:tc>
        <w:tc>
          <w:tcPr>
            <w:tcW w:w="5557" w:type="dxa"/>
          </w:tcPr>
          <w:p w14:paraId="479818B2" w14:textId="47FBF466" w:rsidR="00EF3B76" w:rsidRPr="00E33299" w:rsidRDefault="00EF3B76" w:rsidP="00EF3B76">
            <w:pPr>
              <w:rPr>
                <w:rFonts w:cstheme="minorHAnsi"/>
                <w:sz w:val="20"/>
                <w:szCs w:val="20"/>
              </w:rPr>
            </w:pPr>
          </w:p>
        </w:tc>
      </w:tr>
      <w:tr w:rsidR="00EF3B76" w:rsidRPr="00E33299" w14:paraId="53E57EAF" w14:textId="77777777" w:rsidTr="00EF3B76">
        <w:tc>
          <w:tcPr>
            <w:tcW w:w="4508" w:type="dxa"/>
          </w:tcPr>
          <w:p w14:paraId="2E1D59BC" w14:textId="79522432" w:rsidR="00EF3B76" w:rsidRPr="00E33299" w:rsidRDefault="00EF3B76" w:rsidP="00EF3B76">
            <w:pPr>
              <w:rPr>
                <w:rFonts w:cstheme="minorHAnsi"/>
                <w:sz w:val="20"/>
                <w:szCs w:val="20"/>
              </w:rPr>
            </w:pPr>
            <w:r w:rsidRPr="00E33299">
              <w:rPr>
                <w:rFonts w:cstheme="minorHAnsi"/>
                <w:sz w:val="20"/>
                <w:szCs w:val="20"/>
              </w:rPr>
              <w:t>Email</w:t>
            </w:r>
          </w:p>
        </w:tc>
        <w:tc>
          <w:tcPr>
            <w:tcW w:w="4836" w:type="dxa"/>
          </w:tcPr>
          <w:p w14:paraId="0B66E28B" w14:textId="5883477B" w:rsidR="00EF3B76" w:rsidRPr="00E33299" w:rsidRDefault="00EF3B76" w:rsidP="00EF3B76">
            <w:pPr>
              <w:rPr>
                <w:rFonts w:cstheme="minorHAnsi"/>
                <w:sz w:val="20"/>
                <w:szCs w:val="20"/>
              </w:rPr>
            </w:pPr>
            <w:hyperlink r:id="rId11" w:history="1">
              <w:r w:rsidRPr="002A6735">
                <w:rPr>
                  <w:rStyle w:val="Hyperlink"/>
                  <w:rFonts w:cstheme="minorHAnsi"/>
                  <w:sz w:val="20"/>
                  <w:szCs w:val="20"/>
                </w:rPr>
                <w:t>woodlea.reception@nhs.net</w:t>
              </w:r>
            </w:hyperlink>
            <w:r w:rsidRPr="00400CDF">
              <w:rPr>
                <w:rFonts w:cstheme="minorHAnsi"/>
                <w:sz w:val="20"/>
                <w:szCs w:val="20"/>
              </w:rPr>
              <w:t xml:space="preserve"> </w:t>
            </w:r>
          </w:p>
        </w:tc>
        <w:tc>
          <w:tcPr>
            <w:tcW w:w="5557" w:type="dxa"/>
          </w:tcPr>
          <w:p w14:paraId="1E91DED6" w14:textId="48088F1B" w:rsidR="00EF3B76" w:rsidRPr="00E33299" w:rsidRDefault="00EF3B76" w:rsidP="00EF3B76">
            <w:pPr>
              <w:rPr>
                <w:rFonts w:cstheme="minorHAnsi"/>
                <w:sz w:val="20"/>
                <w:szCs w:val="20"/>
              </w:rPr>
            </w:pPr>
          </w:p>
        </w:tc>
        <w:tc>
          <w:tcPr>
            <w:tcW w:w="5557" w:type="dxa"/>
          </w:tcPr>
          <w:p w14:paraId="5A8675AD" w14:textId="046129EB" w:rsidR="00EF3B76" w:rsidRPr="00E33299" w:rsidRDefault="00EF3B76" w:rsidP="00EF3B76">
            <w:pPr>
              <w:rPr>
                <w:rFonts w:cstheme="minorHAnsi"/>
                <w:sz w:val="20"/>
                <w:szCs w:val="20"/>
              </w:rPr>
            </w:pPr>
          </w:p>
        </w:tc>
        <w:tc>
          <w:tcPr>
            <w:tcW w:w="5557" w:type="dxa"/>
          </w:tcPr>
          <w:p w14:paraId="2F3D1476" w14:textId="0E1F1C1E" w:rsidR="00EF3B76" w:rsidRPr="00E33299" w:rsidRDefault="00EF3B76" w:rsidP="00EF3B76">
            <w:pPr>
              <w:rPr>
                <w:rFonts w:cstheme="minorHAnsi"/>
                <w:sz w:val="20"/>
                <w:szCs w:val="20"/>
              </w:rPr>
            </w:pPr>
          </w:p>
        </w:tc>
        <w:tc>
          <w:tcPr>
            <w:tcW w:w="5557" w:type="dxa"/>
          </w:tcPr>
          <w:p w14:paraId="37084901" w14:textId="3627C854" w:rsidR="00EF3B76" w:rsidRPr="00E33299" w:rsidRDefault="00EF3B76" w:rsidP="00EF3B76">
            <w:pPr>
              <w:rPr>
                <w:rFonts w:cstheme="minorHAnsi"/>
                <w:sz w:val="20"/>
                <w:szCs w:val="20"/>
              </w:rPr>
            </w:pPr>
          </w:p>
        </w:tc>
      </w:tr>
      <w:tr w:rsidR="00EF3B76" w:rsidRPr="00E33299" w14:paraId="517AA754" w14:textId="77777777" w:rsidTr="00EF3B76">
        <w:tc>
          <w:tcPr>
            <w:tcW w:w="4508" w:type="dxa"/>
          </w:tcPr>
          <w:p w14:paraId="221DD722" w14:textId="4114CEC5" w:rsidR="00EF3B76" w:rsidRPr="00E33299" w:rsidRDefault="00EF3B76" w:rsidP="00EF3B76">
            <w:pPr>
              <w:rPr>
                <w:rFonts w:cstheme="minorHAnsi"/>
                <w:sz w:val="20"/>
                <w:szCs w:val="20"/>
              </w:rPr>
            </w:pPr>
            <w:r w:rsidRPr="00E33299">
              <w:rPr>
                <w:rFonts w:cstheme="minorHAnsi"/>
                <w:sz w:val="20"/>
                <w:szCs w:val="20"/>
              </w:rPr>
              <w:t>Data Protection Officers</w:t>
            </w:r>
          </w:p>
        </w:tc>
        <w:tc>
          <w:tcPr>
            <w:tcW w:w="4836" w:type="dxa"/>
          </w:tcPr>
          <w:p w14:paraId="75AFCEC6" w14:textId="3F5A2548" w:rsidR="00EF3B76" w:rsidRPr="00E33299" w:rsidRDefault="00EF3B76" w:rsidP="00EF3B76">
            <w:pPr>
              <w:rPr>
                <w:rFonts w:cstheme="minorHAnsi"/>
                <w:sz w:val="20"/>
                <w:szCs w:val="20"/>
              </w:rPr>
            </w:pPr>
            <w:r w:rsidRPr="00400CDF">
              <w:rPr>
                <w:rFonts w:cstheme="minorHAnsi"/>
                <w:sz w:val="20"/>
                <w:szCs w:val="20"/>
              </w:rPr>
              <w:t>Chris Alderson</w:t>
            </w:r>
          </w:p>
        </w:tc>
        <w:tc>
          <w:tcPr>
            <w:tcW w:w="5557" w:type="dxa"/>
          </w:tcPr>
          <w:p w14:paraId="73ADAD62" w14:textId="050D98E9" w:rsidR="00EF3B76" w:rsidRPr="00E33299" w:rsidRDefault="00EF3B76" w:rsidP="00EF3B76">
            <w:pPr>
              <w:rPr>
                <w:rFonts w:cstheme="minorHAnsi"/>
                <w:sz w:val="20"/>
                <w:szCs w:val="20"/>
              </w:rPr>
            </w:pPr>
          </w:p>
        </w:tc>
        <w:tc>
          <w:tcPr>
            <w:tcW w:w="5557" w:type="dxa"/>
          </w:tcPr>
          <w:p w14:paraId="5E2C2A3E" w14:textId="5D1E6FA3" w:rsidR="00EF3B76" w:rsidRPr="00E33299" w:rsidRDefault="00EF3B76" w:rsidP="00EF3B76">
            <w:pPr>
              <w:rPr>
                <w:rFonts w:cstheme="minorHAnsi"/>
                <w:sz w:val="20"/>
                <w:szCs w:val="20"/>
              </w:rPr>
            </w:pPr>
          </w:p>
        </w:tc>
        <w:tc>
          <w:tcPr>
            <w:tcW w:w="5557" w:type="dxa"/>
          </w:tcPr>
          <w:p w14:paraId="145F5903" w14:textId="735D5253" w:rsidR="00EF3B76" w:rsidRPr="00E33299" w:rsidRDefault="00EF3B76" w:rsidP="00EF3B76">
            <w:pPr>
              <w:rPr>
                <w:rFonts w:cstheme="minorHAnsi"/>
                <w:sz w:val="20"/>
                <w:szCs w:val="20"/>
              </w:rPr>
            </w:pPr>
          </w:p>
        </w:tc>
        <w:tc>
          <w:tcPr>
            <w:tcW w:w="5557" w:type="dxa"/>
          </w:tcPr>
          <w:p w14:paraId="6DD2F7D5" w14:textId="5546B374" w:rsidR="00EF3B76" w:rsidRPr="00E33299" w:rsidRDefault="00EF3B76" w:rsidP="00EF3B76">
            <w:pPr>
              <w:rPr>
                <w:rFonts w:cstheme="minorHAnsi"/>
                <w:sz w:val="20"/>
                <w:szCs w:val="20"/>
              </w:rPr>
            </w:pPr>
          </w:p>
        </w:tc>
      </w:tr>
      <w:tr w:rsidR="00EF3B76" w:rsidRPr="00E33299" w14:paraId="1BCE670A" w14:textId="77777777" w:rsidTr="00EF3B76">
        <w:tc>
          <w:tcPr>
            <w:tcW w:w="4508" w:type="dxa"/>
          </w:tcPr>
          <w:p w14:paraId="5B257764" w14:textId="6E7F0DE0" w:rsidR="00EF3B76" w:rsidRPr="00E33299" w:rsidRDefault="00EF3B76" w:rsidP="00EF3B76">
            <w:pPr>
              <w:rPr>
                <w:rFonts w:cstheme="minorHAnsi"/>
                <w:sz w:val="20"/>
                <w:szCs w:val="20"/>
              </w:rPr>
            </w:pPr>
            <w:r w:rsidRPr="00E33299">
              <w:rPr>
                <w:rFonts w:cstheme="minorHAnsi"/>
                <w:sz w:val="20"/>
                <w:szCs w:val="20"/>
              </w:rPr>
              <w:t xml:space="preserve">Data Protection Registration Number </w:t>
            </w:r>
          </w:p>
        </w:tc>
        <w:tc>
          <w:tcPr>
            <w:tcW w:w="4836" w:type="dxa"/>
          </w:tcPr>
          <w:p w14:paraId="00550EB5" w14:textId="77777777" w:rsidR="00EF3B76" w:rsidRPr="00400CDF" w:rsidRDefault="00EF3B76" w:rsidP="00EF3B76">
            <w:pPr>
              <w:rPr>
                <w:rFonts w:cstheme="minorHAnsi"/>
                <w:sz w:val="20"/>
                <w:szCs w:val="20"/>
              </w:rPr>
            </w:pPr>
            <w:r w:rsidRPr="00400CDF">
              <w:rPr>
                <w:rFonts w:cstheme="minorHAnsi"/>
                <w:sz w:val="20"/>
                <w:szCs w:val="20"/>
              </w:rPr>
              <w:t>Z4898519</w:t>
            </w:r>
          </w:p>
          <w:p w14:paraId="5A21D72C" w14:textId="77777777" w:rsidR="00EF3B76" w:rsidRPr="00400CDF" w:rsidRDefault="00EF3B76" w:rsidP="00EF3B76">
            <w:pPr>
              <w:rPr>
                <w:rFonts w:cstheme="minorHAnsi"/>
                <w:sz w:val="20"/>
                <w:szCs w:val="20"/>
              </w:rPr>
            </w:pPr>
          </w:p>
          <w:p w14:paraId="332504EE" w14:textId="77777777" w:rsidR="00EF3B76" w:rsidRPr="00E33299" w:rsidRDefault="00EF3B76" w:rsidP="00EF3B76">
            <w:pPr>
              <w:rPr>
                <w:rFonts w:cstheme="minorHAnsi"/>
                <w:sz w:val="20"/>
                <w:szCs w:val="20"/>
              </w:rPr>
            </w:pPr>
          </w:p>
        </w:tc>
        <w:tc>
          <w:tcPr>
            <w:tcW w:w="5557" w:type="dxa"/>
          </w:tcPr>
          <w:p w14:paraId="2D478FA9" w14:textId="749C819B" w:rsidR="00EF3B76" w:rsidRPr="00E33299" w:rsidRDefault="00EF3B76" w:rsidP="00EF3B76">
            <w:pPr>
              <w:rPr>
                <w:rFonts w:cstheme="minorHAnsi"/>
                <w:sz w:val="20"/>
                <w:szCs w:val="20"/>
              </w:rPr>
            </w:pPr>
          </w:p>
        </w:tc>
        <w:tc>
          <w:tcPr>
            <w:tcW w:w="5557" w:type="dxa"/>
          </w:tcPr>
          <w:p w14:paraId="21659ED5" w14:textId="68E17B64" w:rsidR="00EF3B76" w:rsidRPr="00E33299" w:rsidRDefault="00EF3B76" w:rsidP="00EF3B76">
            <w:pPr>
              <w:rPr>
                <w:rFonts w:cstheme="minorHAnsi"/>
                <w:sz w:val="20"/>
                <w:szCs w:val="20"/>
              </w:rPr>
            </w:pPr>
          </w:p>
        </w:tc>
        <w:tc>
          <w:tcPr>
            <w:tcW w:w="5557" w:type="dxa"/>
          </w:tcPr>
          <w:p w14:paraId="2E360ECE" w14:textId="5F5D8289" w:rsidR="00EF3B76" w:rsidRPr="00E33299" w:rsidRDefault="00EF3B76" w:rsidP="00EF3B76">
            <w:pPr>
              <w:rPr>
                <w:rFonts w:cstheme="minorHAnsi"/>
                <w:sz w:val="20"/>
                <w:szCs w:val="20"/>
              </w:rPr>
            </w:pPr>
          </w:p>
        </w:tc>
        <w:tc>
          <w:tcPr>
            <w:tcW w:w="5557" w:type="dxa"/>
          </w:tcPr>
          <w:p w14:paraId="47622912" w14:textId="28E682D6" w:rsidR="00EF3B76" w:rsidRPr="00E33299" w:rsidRDefault="00EF3B76" w:rsidP="00EF3B76">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roofErr w:type="gramStart"/>
      <w:r w:rsidRPr="00E33299">
        <w:rPr>
          <w:b w:val="0"/>
          <w:bCs/>
        </w:rPr>
        <w:t>);</w:t>
      </w:r>
      <w:proofErr w:type="gramEnd"/>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w:t>
      </w:r>
      <w:proofErr w:type="gramStart"/>
      <w:r w:rsidRPr="00E33299">
        <w:rPr>
          <w:b w:val="0"/>
          <w:bCs/>
        </w:rPr>
        <w:t>complaint;</w:t>
      </w:r>
      <w:proofErr w:type="gramEnd"/>
      <w:r w:rsidRPr="00E33299">
        <w:rPr>
          <w:b w:val="0"/>
          <w:bCs/>
        </w:rPr>
        <w:t xml:space="preserve">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roofErr w:type="gramStart"/>
      <w:r w:rsidRPr="00E33299">
        <w:rPr>
          <w:b w:val="0"/>
          <w:bCs/>
        </w:rPr>
        <w:t>);</w:t>
      </w:r>
      <w:proofErr w:type="gramEnd"/>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 xml:space="preserve">date of birth, NHS </w:t>
      </w:r>
      <w:proofErr w:type="gramStart"/>
      <w:r w:rsidR="00D30EDD" w:rsidRPr="00E33299">
        <w:rPr>
          <w:rFonts w:cstheme="minorHAnsi"/>
          <w:sz w:val="20"/>
          <w:szCs w:val="20"/>
        </w:rPr>
        <w:t>Number</w:t>
      </w:r>
      <w:r w:rsidRPr="00E33299">
        <w:rPr>
          <w:rFonts w:cstheme="minorHAnsi"/>
          <w:sz w:val="20"/>
          <w:szCs w:val="20"/>
        </w:rPr>
        <w:t>;</w:t>
      </w:r>
      <w:proofErr w:type="gramEnd"/>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 xml:space="preserve">ontact details – address, telephone, email </w:t>
      </w:r>
      <w:proofErr w:type="gramStart"/>
      <w:r w:rsidR="00D30EDD" w:rsidRPr="00E33299">
        <w:rPr>
          <w:rFonts w:cstheme="minorHAnsi"/>
          <w:sz w:val="20"/>
          <w:szCs w:val="20"/>
        </w:rPr>
        <w:t>address</w:t>
      </w:r>
      <w:r w:rsidRPr="00E33299">
        <w:rPr>
          <w:rFonts w:cstheme="minorHAnsi"/>
          <w:sz w:val="20"/>
          <w:szCs w:val="20"/>
        </w:rPr>
        <w:t>;</w:t>
      </w:r>
      <w:proofErr w:type="gramEnd"/>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w:t>
      </w:r>
      <w:proofErr w:type="gramStart"/>
      <w:r w:rsidRPr="00E33299">
        <w:rPr>
          <w:rFonts w:cstheme="minorHAnsi"/>
          <w:sz w:val="20"/>
          <w:szCs w:val="20"/>
        </w:rPr>
        <w:t>friend</w:t>
      </w:r>
      <w:r w:rsidR="001333CF" w:rsidRPr="00E33299">
        <w:rPr>
          <w:rFonts w:cstheme="minorHAnsi"/>
          <w:sz w:val="20"/>
          <w:szCs w:val="20"/>
        </w:rPr>
        <w:t>;</w:t>
      </w:r>
      <w:proofErr w:type="gramEnd"/>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 xml:space="preserve">details of any carer you may have, or anyone you care </w:t>
      </w:r>
      <w:proofErr w:type="gramStart"/>
      <w:r w:rsidRPr="00E33299">
        <w:rPr>
          <w:rFonts w:cstheme="minorHAnsi"/>
          <w:sz w:val="20"/>
          <w:szCs w:val="20"/>
        </w:rPr>
        <w:t>for;</w:t>
      </w:r>
      <w:proofErr w:type="gramEnd"/>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 xml:space="preserve">GPs and nursing </w:t>
      </w:r>
      <w:proofErr w:type="gramStart"/>
      <w:r w:rsidR="00434DCE" w:rsidRPr="00E33299">
        <w:rPr>
          <w:rFonts w:cstheme="minorHAnsi"/>
          <w:sz w:val="20"/>
          <w:szCs w:val="20"/>
        </w:rPr>
        <w:t>staff</w:t>
      </w:r>
      <w:r w:rsidRPr="00E33299">
        <w:rPr>
          <w:rFonts w:cstheme="minorHAnsi"/>
          <w:sz w:val="20"/>
          <w:szCs w:val="20"/>
        </w:rPr>
        <w:t>;</w:t>
      </w:r>
      <w:proofErr w:type="gramEnd"/>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 xml:space="preserve">econdary care of any A&amp;E visits, inpatient stays or clinic </w:t>
      </w:r>
      <w:proofErr w:type="gramStart"/>
      <w:r w:rsidR="00434DCE" w:rsidRPr="00E33299">
        <w:rPr>
          <w:rFonts w:cstheme="minorHAnsi"/>
          <w:sz w:val="20"/>
          <w:szCs w:val="20"/>
        </w:rPr>
        <w:t>appointments</w:t>
      </w:r>
      <w:r w:rsidRPr="00E33299">
        <w:rPr>
          <w:rFonts w:cstheme="minorHAnsi"/>
          <w:sz w:val="20"/>
          <w:szCs w:val="20"/>
        </w:rPr>
        <w:t>;</w:t>
      </w:r>
      <w:proofErr w:type="gramEnd"/>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 xml:space="preserve">esults of any scans, X-rays and pathology tests </w:t>
      </w:r>
      <w:proofErr w:type="gramStart"/>
      <w:r w:rsidR="00434DCE" w:rsidRPr="00E33299">
        <w:rPr>
          <w:rFonts w:cstheme="minorHAnsi"/>
          <w:sz w:val="20"/>
          <w:szCs w:val="20"/>
        </w:rPr>
        <w:t>requested</w:t>
      </w:r>
      <w:r w:rsidRPr="00E33299">
        <w:rPr>
          <w:rFonts w:cstheme="minorHAnsi"/>
          <w:sz w:val="20"/>
          <w:szCs w:val="20"/>
        </w:rPr>
        <w:t>;</w:t>
      </w:r>
      <w:proofErr w:type="gramEnd"/>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diagnosis and treatments </w:t>
      </w:r>
      <w:proofErr w:type="gramStart"/>
      <w:r w:rsidR="00434DCE" w:rsidRPr="00E33299">
        <w:rPr>
          <w:rFonts w:cstheme="minorHAnsi"/>
          <w:sz w:val="20"/>
          <w:szCs w:val="20"/>
        </w:rPr>
        <w:t>given</w:t>
      </w:r>
      <w:r w:rsidRPr="00E33299">
        <w:rPr>
          <w:rFonts w:cstheme="minorHAnsi"/>
          <w:sz w:val="20"/>
          <w:szCs w:val="20"/>
        </w:rPr>
        <w:t>;</w:t>
      </w:r>
      <w:proofErr w:type="gramEnd"/>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longstanding health concerns and </w:t>
      </w:r>
      <w:proofErr w:type="gramStart"/>
      <w:r w:rsidR="00434DCE" w:rsidRPr="00E33299">
        <w:rPr>
          <w:rFonts w:cstheme="minorHAnsi"/>
          <w:sz w:val="20"/>
          <w:szCs w:val="20"/>
        </w:rPr>
        <w:t>conditions</w:t>
      </w:r>
      <w:r w:rsidRPr="00E33299">
        <w:rPr>
          <w:rFonts w:cstheme="minorHAnsi"/>
          <w:sz w:val="20"/>
          <w:szCs w:val="20"/>
        </w:rPr>
        <w:t>;</w:t>
      </w:r>
      <w:proofErr w:type="gramEnd"/>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w:t>
      </w:r>
      <w:proofErr w:type="gramStart"/>
      <w:r w:rsidR="00324C32" w:rsidRPr="00E33299">
        <w:rPr>
          <w:rFonts w:cstheme="minorHAnsi"/>
          <w:sz w:val="20"/>
          <w:szCs w:val="20"/>
        </w:rPr>
        <w:t>you</w:t>
      </w:r>
      <w:r w:rsidRPr="00E33299">
        <w:rPr>
          <w:rFonts w:cstheme="minorHAnsi"/>
          <w:sz w:val="20"/>
          <w:szCs w:val="20"/>
        </w:rPr>
        <w:t>;</w:t>
      </w:r>
      <w:proofErr w:type="gramEnd"/>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about any funding for continuing health care or personal health budget support you have </w:t>
      </w:r>
      <w:proofErr w:type="gramStart"/>
      <w:r w:rsidRPr="00E33299">
        <w:rPr>
          <w:rFonts w:cstheme="minorHAnsi"/>
          <w:sz w:val="20"/>
          <w:szCs w:val="20"/>
        </w:rPr>
        <w:t>sought;</w:t>
      </w:r>
      <w:proofErr w:type="gramEnd"/>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w:t>
      </w:r>
      <w:proofErr w:type="gramStart"/>
      <w:r w:rsidR="00434DCE" w:rsidRPr="00E33299">
        <w:rPr>
          <w:rFonts w:cstheme="minorHAnsi"/>
          <w:sz w:val="20"/>
          <w:szCs w:val="20"/>
        </w:rPr>
        <w:t>allergies</w:t>
      </w:r>
      <w:r w:rsidRPr="00E33299">
        <w:rPr>
          <w:rFonts w:cstheme="minorHAnsi"/>
          <w:sz w:val="20"/>
          <w:szCs w:val="20"/>
        </w:rPr>
        <w:t>;</w:t>
      </w:r>
      <w:proofErr w:type="gramEnd"/>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DNAR decisions and any living wills that we know </w:t>
      </w:r>
      <w:proofErr w:type="gramStart"/>
      <w:r w:rsidR="00434DCE" w:rsidRPr="00E33299">
        <w:rPr>
          <w:rFonts w:cstheme="minorHAnsi"/>
          <w:sz w:val="20"/>
          <w:szCs w:val="20"/>
        </w:rPr>
        <w:t>of</w:t>
      </w:r>
      <w:r w:rsidRPr="00E33299">
        <w:rPr>
          <w:rFonts w:cstheme="minorHAnsi"/>
          <w:sz w:val="20"/>
          <w:szCs w:val="20"/>
        </w:rPr>
        <w:t>;</w:t>
      </w:r>
      <w:proofErr w:type="gramEnd"/>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from where you have signed up to our newsletter/patient participation </w:t>
      </w:r>
      <w:proofErr w:type="gramStart"/>
      <w:r w:rsidRPr="00E33299">
        <w:rPr>
          <w:rFonts w:cstheme="minorHAnsi"/>
          <w:sz w:val="20"/>
          <w:szCs w:val="20"/>
        </w:rPr>
        <w:t>group;</w:t>
      </w:r>
      <w:proofErr w:type="gramEnd"/>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w:t>
      </w:r>
      <w:proofErr w:type="gramStart"/>
      <w:r w:rsidRPr="00E33299">
        <w:rPr>
          <w:rFonts w:cstheme="minorHAnsi"/>
          <w:sz w:val="20"/>
          <w:szCs w:val="20"/>
        </w:rPr>
        <w:t>in order to</w:t>
      </w:r>
      <w:proofErr w:type="gramEnd"/>
      <w:r w:rsidRPr="00E33299">
        <w:rPr>
          <w:rFonts w:cstheme="minorHAnsi"/>
          <w:sz w:val="20"/>
          <w:szCs w:val="20"/>
        </w:rPr>
        <w:t xml:space="preserve">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0AF1DEB9" w14:textId="638C35BD" w:rsidR="00CF168F" w:rsidRPr="00E33299" w:rsidRDefault="00CF168F"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w:t>
      </w:r>
      <w:proofErr w:type="gramStart"/>
      <w:r w:rsidRPr="00E33299">
        <w:t>and also</w:t>
      </w:r>
      <w:proofErr w:type="gramEnd"/>
      <w:r w:rsidRPr="00E33299">
        <w:t xml:space="preserve">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proofErr w:type="gramStart"/>
      <w:r w:rsidR="0038329E" w:rsidRPr="00E33299">
        <w:rPr>
          <w:rFonts w:cstheme="minorHAnsi"/>
          <w:sz w:val="20"/>
          <w:szCs w:val="20"/>
        </w:rPr>
        <w:t>administration;</w:t>
      </w:r>
      <w:proofErr w:type="gramEnd"/>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social workers or to other non-NHS staff involved in providing health and social </w:t>
      </w:r>
      <w:proofErr w:type="gramStart"/>
      <w:r w:rsidRPr="00E33299">
        <w:rPr>
          <w:rFonts w:cstheme="minorHAnsi"/>
          <w:sz w:val="20"/>
          <w:szCs w:val="20"/>
        </w:rPr>
        <w:t>care;</w:t>
      </w:r>
      <w:proofErr w:type="gramEnd"/>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specialist employees or organisations for the purposes of clinical </w:t>
      </w:r>
      <w:proofErr w:type="gramStart"/>
      <w:r w:rsidRPr="00E33299">
        <w:rPr>
          <w:rFonts w:cstheme="minorHAnsi"/>
          <w:sz w:val="20"/>
          <w:szCs w:val="20"/>
        </w:rPr>
        <w:t>auditing;</w:t>
      </w:r>
      <w:proofErr w:type="gramEnd"/>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xml:space="preserve">, to support your </w:t>
      </w:r>
      <w:proofErr w:type="gramStart"/>
      <w:r w:rsidR="007160A9" w:rsidRPr="00E33299">
        <w:rPr>
          <w:rFonts w:cstheme="minorHAnsi"/>
          <w:sz w:val="20"/>
          <w:szCs w:val="20"/>
        </w:rPr>
        <w:t>care</w:t>
      </w:r>
      <w:r w:rsidRPr="00E33299">
        <w:rPr>
          <w:rFonts w:cstheme="minorHAnsi"/>
          <w:sz w:val="20"/>
          <w:szCs w:val="20"/>
        </w:rPr>
        <w:t>;</w:t>
      </w:r>
      <w:proofErr w:type="gramEnd"/>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xml:space="preserve">, to support your </w:t>
      </w:r>
      <w:proofErr w:type="gramStart"/>
      <w:r w:rsidRPr="00E33299">
        <w:rPr>
          <w:rFonts w:cstheme="minorHAnsi"/>
          <w:sz w:val="20"/>
          <w:szCs w:val="20"/>
        </w:rPr>
        <w:t>care</w:t>
      </w:r>
      <w:r w:rsidR="0038329E" w:rsidRPr="00E33299">
        <w:rPr>
          <w:rFonts w:cstheme="minorHAnsi"/>
          <w:sz w:val="20"/>
          <w:szCs w:val="20"/>
        </w:rPr>
        <w:t>;</w:t>
      </w:r>
      <w:proofErr w:type="gramEnd"/>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roofErr w:type="gramStart"/>
      <w:r w:rsidRPr="00E33299">
        <w:rPr>
          <w:rFonts w:cstheme="minorHAnsi"/>
          <w:sz w:val="20"/>
          <w:szCs w:val="20"/>
        </w:rPr>
        <w:t>);</w:t>
      </w:r>
      <w:proofErr w:type="gramEnd"/>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 xml:space="preserve">commissioning, managing and auditing healthcare </w:t>
      </w:r>
      <w:proofErr w:type="gramStart"/>
      <w:r w:rsidRPr="00E33299">
        <w:rPr>
          <w:rFonts w:cstheme="minorHAnsi"/>
          <w:sz w:val="20"/>
          <w:szCs w:val="20"/>
        </w:rPr>
        <w:t>services;</w:t>
      </w:r>
      <w:proofErr w:type="gramEnd"/>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 xml:space="preserve">odies with statutory investigative powers e.g. the Care Quality Commission, the GMC, the Audit Commission and Health Services </w:t>
      </w:r>
      <w:proofErr w:type="gramStart"/>
      <w:r w:rsidR="007C06C1" w:rsidRPr="00E33299">
        <w:rPr>
          <w:rFonts w:cstheme="minorHAnsi"/>
          <w:sz w:val="20"/>
          <w:szCs w:val="20"/>
        </w:rPr>
        <w:t>Ombudsman;</w:t>
      </w:r>
      <w:proofErr w:type="gramEnd"/>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 xml:space="preserve">national registries e.g. the UK Association of Cancer </w:t>
      </w:r>
      <w:proofErr w:type="gramStart"/>
      <w:r w:rsidRPr="00E33299">
        <w:rPr>
          <w:rFonts w:cstheme="minorHAnsi"/>
          <w:sz w:val="20"/>
          <w:szCs w:val="20"/>
        </w:rPr>
        <w:t>Registries;</w:t>
      </w:r>
      <w:proofErr w:type="gramEnd"/>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w:t>
      </w:r>
      <w:proofErr w:type="gramStart"/>
      <w:r w:rsidR="00EF25F4" w:rsidRPr="00E33299">
        <w:rPr>
          <w:rFonts w:cstheme="minorHAnsi"/>
          <w:sz w:val="20"/>
          <w:szCs w:val="20"/>
        </w:rPr>
        <w:t>advice</w:t>
      </w:r>
      <w:r w:rsidRPr="00E33299">
        <w:rPr>
          <w:rFonts w:cstheme="minorHAnsi"/>
          <w:sz w:val="20"/>
          <w:szCs w:val="20"/>
        </w:rPr>
        <w:t>;</w:t>
      </w:r>
      <w:proofErr w:type="gramEnd"/>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w:t>
      </w:r>
      <w:proofErr w:type="gramStart"/>
      <w:r w:rsidR="00010F1C" w:rsidRPr="00E33299">
        <w:rPr>
          <w:rFonts w:cstheme="minorHAnsi"/>
          <w:sz w:val="20"/>
          <w:szCs w:val="20"/>
        </w:rPr>
        <w:t>scheme</w:t>
      </w:r>
      <w:r w:rsidRPr="00E33299">
        <w:rPr>
          <w:rFonts w:cstheme="minorHAnsi"/>
          <w:sz w:val="20"/>
          <w:szCs w:val="20"/>
        </w:rPr>
        <w:t>;</w:t>
      </w:r>
      <w:proofErr w:type="gramEnd"/>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 xml:space="preserve">for the purposes of responding to requests for medical reports and subject access </w:t>
      </w:r>
      <w:proofErr w:type="gramStart"/>
      <w:r w:rsidR="005561C9" w:rsidRPr="00E33299">
        <w:rPr>
          <w:rFonts w:cstheme="minorHAnsi"/>
          <w:sz w:val="20"/>
          <w:szCs w:val="20"/>
        </w:rPr>
        <w:t>requests;</w:t>
      </w:r>
      <w:proofErr w:type="gramEnd"/>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 xml:space="preserve">allow you to enter your own health data into the apps for clinical observation and </w:t>
      </w:r>
      <w:proofErr w:type="gramStart"/>
      <w:r w:rsidRPr="00E33299">
        <w:rPr>
          <w:rFonts w:cstheme="minorHAnsi"/>
          <w:sz w:val="20"/>
          <w:szCs w:val="20"/>
        </w:rPr>
        <w:t>monitoring;</w:t>
      </w:r>
      <w:proofErr w:type="gramEnd"/>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w:t>
      </w:r>
      <w:proofErr w:type="gramStart"/>
      <w:r w:rsidR="0000444C" w:rsidRPr="00E33299">
        <w:rPr>
          <w:rFonts w:cstheme="minorHAnsi"/>
          <w:sz w:val="20"/>
          <w:szCs w:val="20"/>
        </w:rPr>
        <w:t>patient</w:t>
      </w:r>
      <w:r w:rsidRPr="00E33299">
        <w:rPr>
          <w:rFonts w:cstheme="minorHAnsi"/>
          <w:sz w:val="20"/>
          <w:szCs w:val="20"/>
        </w:rPr>
        <w:t>;</w:t>
      </w:r>
      <w:proofErr w:type="gramEnd"/>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 xml:space="preserve">ndependent contractors such as dentists, opticians, </w:t>
      </w:r>
      <w:proofErr w:type="gramStart"/>
      <w:r w:rsidR="00E5021D" w:rsidRPr="00E33299">
        <w:rPr>
          <w:rFonts w:cstheme="minorHAnsi"/>
          <w:sz w:val="20"/>
          <w:szCs w:val="20"/>
        </w:rPr>
        <w:t>pharmacists</w:t>
      </w:r>
      <w:r w:rsidRPr="00E33299">
        <w:rPr>
          <w:rFonts w:cstheme="minorHAnsi"/>
          <w:sz w:val="20"/>
          <w:szCs w:val="20"/>
        </w:rPr>
        <w:t>;</w:t>
      </w:r>
      <w:proofErr w:type="gramEnd"/>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w:t>
      </w:r>
      <w:proofErr w:type="gramStart"/>
      <w:r w:rsidR="007160A9" w:rsidRPr="00E33299">
        <w:rPr>
          <w:rFonts w:cstheme="minorHAnsi"/>
          <w:sz w:val="20"/>
          <w:szCs w:val="20"/>
        </w:rPr>
        <w:t>consent</w:t>
      </w:r>
      <w:r w:rsidR="00EF25F4" w:rsidRPr="00E33299">
        <w:rPr>
          <w:rFonts w:cstheme="minorHAnsi"/>
          <w:sz w:val="20"/>
          <w:szCs w:val="20"/>
        </w:rPr>
        <w:t>;</w:t>
      </w:r>
      <w:proofErr w:type="gramEnd"/>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E33299">
        <w:rPr>
          <w:rFonts w:cstheme="minorHAnsi"/>
          <w:sz w:val="20"/>
          <w:szCs w:val="20"/>
        </w:rPr>
        <w:t>providers;</w:t>
      </w:r>
      <w:proofErr w:type="gramEnd"/>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authorised sub-contractors, including those supporting the collection of QOF </w:t>
      </w:r>
      <w:proofErr w:type="gramStart"/>
      <w:r w:rsidRPr="00E33299">
        <w:rPr>
          <w:rFonts w:cstheme="minorHAnsi"/>
          <w:sz w:val="20"/>
          <w:szCs w:val="20"/>
        </w:rPr>
        <w:t>data;</w:t>
      </w:r>
      <w:proofErr w:type="gramEnd"/>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there is a Court Order or a statutory duty to share patient </w:t>
      </w:r>
      <w:proofErr w:type="gramStart"/>
      <w:r w:rsidR="007C06C1" w:rsidRPr="00E33299">
        <w:rPr>
          <w:rFonts w:cstheme="minorHAnsi"/>
          <w:sz w:val="20"/>
          <w:szCs w:val="20"/>
        </w:rPr>
        <w:t>data;</w:t>
      </w:r>
      <w:proofErr w:type="gramEnd"/>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w:t>
      </w:r>
      <w:proofErr w:type="gramStart"/>
      <w:r w:rsidR="007C06C1" w:rsidRPr="00E33299">
        <w:rPr>
          <w:rFonts w:cstheme="minorHAnsi"/>
          <w:sz w:val="20"/>
          <w:szCs w:val="20"/>
        </w:rPr>
        <w:t>data;</w:t>
      </w:r>
      <w:proofErr w:type="gramEnd"/>
      <w:r w:rsidR="007C06C1" w:rsidRPr="00E33299">
        <w:rPr>
          <w:rFonts w:cstheme="minorHAnsi"/>
          <w:sz w:val="20"/>
          <w:szCs w:val="20"/>
        </w:rPr>
        <w:t xml:space="preserve">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 patient has given his/her explicit consent to the </w:t>
      </w:r>
      <w:proofErr w:type="gramStart"/>
      <w:r w:rsidR="007C06C1" w:rsidRPr="00E33299">
        <w:rPr>
          <w:rFonts w:cstheme="minorHAnsi"/>
          <w:sz w:val="20"/>
          <w:szCs w:val="20"/>
        </w:rPr>
        <w:t>sharing;</w:t>
      </w:r>
      <w:proofErr w:type="gramEnd"/>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w:t>
      </w:r>
      <w:proofErr w:type="gramStart"/>
      <w:r w:rsidR="00A75692" w:rsidRPr="00E33299">
        <w:rPr>
          <w:rFonts w:cstheme="minorHAnsi"/>
          <w:sz w:val="20"/>
          <w:szCs w:val="20"/>
        </w:rPr>
        <w:t>care;</w:t>
      </w:r>
      <w:proofErr w:type="gramEnd"/>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w:t>
      </w:r>
      <w:proofErr w:type="gramStart"/>
      <w:r w:rsidRPr="00E33299">
        <w:t>however,</w:t>
      </w:r>
      <w:proofErr w:type="gramEnd"/>
      <w:r w:rsidRPr="00E33299">
        <w:t xml:space="preserve">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 xml:space="preserve">roviding direct </w:t>
      </w:r>
      <w:proofErr w:type="gramStart"/>
      <w:r w:rsidR="00B119B1" w:rsidRPr="00E33299">
        <w:rPr>
          <w:rFonts w:cstheme="minorHAnsi"/>
          <w:sz w:val="20"/>
          <w:szCs w:val="20"/>
        </w:rPr>
        <w:t>healthcare</w:t>
      </w:r>
      <w:r w:rsidR="007A2410" w:rsidRPr="00E33299">
        <w:rPr>
          <w:rFonts w:cstheme="minorHAnsi"/>
          <w:sz w:val="20"/>
          <w:szCs w:val="20"/>
        </w:rPr>
        <w:t>;</w:t>
      </w:r>
      <w:proofErr w:type="gramEnd"/>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 xml:space="preserve">ith information regarding your </w:t>
      </w:r>
      <w:proofErr w:type="gramStart"/>
      <w:r w:rsidRPr="00E33299">
        <w:rPr>
          <w:rFonts w:cstheme="minorHAnsi"/>
          <w:sz w:val="20"/>
          <w:szCs w:val="20"/>
        </w:rPr>
        <w:t>h</w:t>
      </w:r>
      <w:r w:rsidR="007A0EEF" w:rsidRPr="00E33299">
        <w:rPr>
          <w:rFonts w:cstheme="minorHAnsi"/>
          <w:sz w:val="20"/>
          <w:szCs w:val="20"/>
        </w:rPr>
        <w:t>ealthcare</w:t>
      </w:r>
      <w:r w:rsidR="007A2410" w:rsidRPr="00E33299">
        <w:rPr>
          <w:rFonts w:cstheme="minorHAnsi"/>
          <w:sz w:val="20"/>
          <w:szCs w:val="20"/>
        </w:rPr>
        <w:t>;</w:t>
      </w:r>
      <w:proofErr w:type="gramEnd"/>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 xml:space="preserve">ave accurate and up to date information available to the right care and treatment </w:t>
      </w:r>
      <w:proofErr w:type="gramStart"/>
      <w:r w:rsidR="00B119B1" w:rsidRPr="00E33299">
        <w:rPr>
          <w:rFonts w:cstheme="minorHAnsi"/>
          <w:sz w:val="20"/>
          <w:szCs w:val="20"/>
        </w:rPr>
        <w:t>options</w:t>
      </w:r>
      <w:r w:rsidR="007A2410" w:rsidRPr="00E33299">
        <w:rPr>
          <w:rFonts w:cstheme="minorHAnsi"/>
          <w:sz w:val="20"/>
          <w:szCs w:val="20"/>
        </w:rPr>
        <w:t>;</w:t>
      </w:r>
      <w:proofErr w:type="gramEnd"/>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roofErr w:type="gramStart"/>
      <w:r w:rsidRPr="00E33299">
        <w:rPr>
          <w:rFonts w:cstheme="minorHAnsi"/>
          <w:sz w:val="20"/>
          <w:szCs w:val="20"/>
        </w:rPr>
        <w:t>);</w:t>
      </w:r>
      <w:proofErr w:type="gramEnd"/>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reason for </w:t>
      </w:r>
      <w:proofErr w:type="gramStart"/>
      <w:r w:rsidRPr="00E33299">
        <w:rPr>
          <w:rFonts w:cstheme="minorHAnsi"/>
          <w:sz w:val="20"/>
          <w:szCs w:val="20"/>
        </w:rPr>
        <w:t>medication;</w:t>
      </w:r>
      <w:proofErr w:type="gramEnd"/>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roofErr w:type="gramStart"/>
      <w:r w:rsidRPr="00E33299">
        <w:rPr>
          <w:rFonts w:cstheme="minorHAnsi"/>
          <w:sz w:val="20"/>
          <w:szCs w:val="20"/>
        </w:rPr>
        <w:t>);</w:t>
      </w:r>
      <w:proofErr w:type="gramEnd"/>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end of life care </w:t>
      </w:r>
      <w:proofErr w:type="gramStart"/>
      <w:r w:rsidRPr="00E33299">
        <w:rPr>
          <w:rFonts w:cstheme="minorHAnsi"/>
          <w:sz w:val="20"/>
          <w:szCs w:val="20"/>
        </w:rPr>
        <w:t>information;</w:t>
      </w:r>
      <w:proofErr w:type="gramEnd"/>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information about your </w:t>
      </w:r>
      <w:proofErr w:type="gramStart"/>
      <w:r w:rsidRPr="00E33299">
        <w:rPr>
          <w:rFonts w:cstheme="minorHAnsi"/>
          <w:sz w:val="20"/>
          <w:szCs w:val="20"/>
        </w:rPr>
        <w:t>immunisations;</w:t>
      </w:r>
      <w:proofErr w:type="gramEnd"/>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4C18D284" w14:textId="77777777" w:rsidR="00133C8B" w:rsidRDefault="00133C8B" w:rsidP="00133C8B">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6F50F468" w14:textId="77777777" w:rsidR="00133C8B" w:rsidRPr="002867E2" w:rsidRDefault="00133C8B" w:rsidP="00133C8B">
      <w:pPr>
        <w:pStyle w:val="sectionheading"/>
        <w:spacing w:after="0"/>
        <w:rPr>
          <w:rFonts w:eastAsia="Times New Roman"/>
          <w:b w:val="0"/>
          <w:bCs/>
          <w:lang w:eastAsia="en-GB"/>
        </w:rPr>
      </w:pPr>
    </w:p>
    <w:p w14:paraId="0FBD2D8C" w14:textId="77777777" w:rsidR="00133C8B" w:rsidRPr="002867E2" w:rsidRDefault="00133C8B" w:rsidP="00133C8B">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67891FC2" w14:textId="77777777" w:rsidR="00133C8B" w:rsidRDefault="00133C8B" w:rsidP="00133C8B">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129455C2" w14:textId="77777777" w:rsidR="00133C8B" w:rsidRPr="002867E2" w:rsidRDefault="00133C8B" w:rsidP="00133C8B">
      <w:pPr>
        <w:pStyle w:val="sectionheading"/>
        <w:spacing w:after="0"/>
        <w:rPr>
          <w:rFonts w:eastAsia="Times New Roman"/>
          <w:b w:val="0"/>
          <w:bCs/>
          <w:lang w:eastAsia="en-GB"/>
        </w:rPr>
      </w:pPr>
    </w:p>
    <w:p w14:paraId="5FAAA5C0" w14:textId="77777777" w:rsidR="00133C8B" w:rsidRPr="002867E2" w:rsidRDefault="00133C8B" w:rsidP="00133C8B">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30A5B262" w14:textId="77777777" w:rsidR="00133C8B" w:rsidRDefault="00133C8B" w:rsidP="00133C8B">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2117DFA3" w14:textId="77777777" w:rsidR="003D55EF" w:rsidRPr="00CD157A" w:rsidRDefault="003D55EF" w:rsidP="003D55EF">
      <w:pPr>
        <w:pStyle w:val="sectionheading"/>
        <w:rPr>
          <w:rFonts w:eastAsia="Times New Roman"/>
          <w:lang w:eastAsia="en-GB"/>
        </w:rPr>
      </w:pPr>
      <w:proofErr w:type="spellStart"/>
      <w:r w:rsidRPr="00CD157A">
        <w:rPr>
          <w:rFonts w:eastAsia="Times New Roman"/>
          <w:lang w:eastAsia="en-GB"/>
        </w:rPr>
        <w:t>Abtrace</w:t>
      </w:r>
      <w:proofErr w:type="spellEnd"/>
      <w:r w:rsidRPr="00CD157A">
        <w:rPr>
          <w:rFonts w:eastAsia="Times New Roman"/>
          <w:lang w:eastAsia="en-GB"/>
        </w:rPr>
        <w:t xml:space="preserve"> CDSS</w:t>
      </w:r>
    </w:p>
    <w:p w14:paraId="2BEB2D82" w14:textId="77777777" w:rsidR="003D55EF" w:rsidRPr="00CD157A" w:rsidRDefault="003D55EF" w:rsidP="003D55EF">
      <w:pPr>
        <w:pStyle w:val="sectionheading"/>
        <w:rPr>
          <w:rFonts w:eastAsia="Times New Roman"/>
          <w:b w:val="0"/>
          <w:bCs/>
          <w:lang w:eastAsia="en-GB"/>
        </w:rPr>
      </w:pP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CDSS is a Clinical Decision Support System (CDSS) in the form of software, which analyses clinical data within primary care electronic health records (EHR) to improve clinical care of patients.</w:t>
      </w:r>
    </w:p>
    <w:p w14:paraId="783D9E07" w14:textId="77777777" w:rsidR="003D55EF" w:rsidRPr="00CD157A" w:rsidRDefault="003D55EF" w:rsidP="003D55EF">
      <w:pPr>
        <w:pStyle w:val="sectionheading"/>
        <w:rPr>
          <w:rFonts w:eastAsia="Times New Roman"/>
          <w:b w:val="0"/>
          <w:bCs/>
          <w:lang w:eastAsia="en-GB"/>
        </w:rPr>
      </w:pPr>
      <w:r w:rsidRPr="00CD157A">
        <w:rPr>
          <w:rFonts w:eastAsia="Times New Roman"/>
          <w:b w:val="0"/>
          <w:bCs/>
          <w:lang w:eastAsia="en-GB"/>
        </w:rPr>
        <w:t xml:space="preserve">The clinical activities recommended by the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tool are based upon coded information within a patient’s electronic health record (EHR) and relevant guideline(s) as outlined at https://help.abtrace.co/monitoring-rules. All codes are based on SNOMED, DM+D, and QOF codes which are updated from a centralised dataset.</w:t>
      </w:r>
    </w:p>
    <w:p w14:paraId="6EE46F85" w14:textId="22CFCB26" w:rsidR="003D55EF" w:rsidRPr="00CD157A" w:rsidRDefault="003D55EF" w:rsidP="003D55EF">
      <w:pPr>
        <w:pStyle w:val="sectionheading"/>
        <w:tabs>
          <w:tab w:val="left" w:pos="8775"/>
        </w:tabs>
        <w:rPr>
          <w:rFonts w:eastAsia="Times New Roman"/>
          <w:b w:val="0"/>
          <w:bCs/>
          <w:lang w:eastAsia="en-GB"/>
        </w:rPr>
      </w:pPr>
      <w:r w:rsidRPr="00CD157A">
        <w:rPr>
          <w:rFonts w:eastAsia="Times New Roman"/>
          <w:b w:val="0"/>
          <w:bCs/>
          <w:lang w:eastAsia="en-GB"/>
        </w:rPr>
        <w:t xml:space="preserve"> </w:t>
      </w:r>
      <w:r>
        <w:rPr>
          <w:rFonts w:eastAsia="Times New Roman"/>
          <w:b w:val="0"/>
          <w:bCs/>
          <w:lang w:eastAsia="en-GB"/>
        </w:rPr>
        <w:tab/>
      </w:r>
    </w:p>
    <w:p w14:paraId="4C97409E" w14:textId="77777777" w:rsidR="003D55EF" w:rsidRPr="00CD157A" w:rsidRDefault="003D55EF" w:rsidP="003D55EF">
      <w:pPr>
        <w:pStyle w:val="sectionheading"/>
        <w:rPr>
          <w:rFonts w:eastAsia="Times New Roman"/>
          <w:b w:val="0"/>
          <w:bCs/>
          <w:lang w:eastAsia="en-GB"/>
        </w:rPr>
      </w:pPr>
      <w:r w:rsidRPr="00CD157A">
        <w:rPr>
          <w:rFonts w:eastAsia="Times New Roman"/>
          <w:b w:val="0"/>
          <w:bCs/>
          <w:lang w:eastAsia="en-GB"/>
        </w:rPr>
        <w:lastRenderedPageBreak/>
        <w:t>This is a modular system, which offers support to clinicians and administrative staff in identifying and undertaking clinical activity required for the ongoing management of patients within primary care, according to clinical practice guidelines. It will enable clinical actions required to support disease management, prevention and screening to meet quality indicators.</w:t>
      </w:r>
    </w:p>
    <w:p w14:paraId="2C49AA52" w14:textId="38B214AC" w:rsidR="003D55EF" w:rsidRPr="002867E2" w:rsidRDefault="003D55EF" w:rsidP="00133C8B">
      <w:pPr>
        <w:pStyle w:val="sectionheading"/>
        <w:rPr>
          <w:rFonts w:eastAsia="Times New Roman"/>
          <w:b w:val="0"/>
          <w:bCs/>
          <w:lang w:eastAsia="en-GB"/>
        </w:rPr>
      </w:pPr>
      <w:r w:rsidRPr="00CD157A">
        <w:rPr>
          <w:rFonts w:eastAsia="Times New Roman"/>
          <w:b w:val="0"/>
          <w:bCs/>
          <w:lang w:eastAsia="en-GB"/>
        </w:rPr>
        <w:t xml:space="preserve">Individual GP practices are the source of data and Data Controllers.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is the Data </w:t>
      </w:r>
      <w:proofErr w:type="gramStart"/>
      <w:r w:rsidRPr="00CD157A">
        <w:rPr>
          <w:rFonts w:eastAsia="Times New Roman"/>
          <w:b w:val="0"/>
          <w:bCs/>
          <w:lang w:eastAsia="en-GB"/>
        </w:rPr>
        <w:t>processor</w:t>
      </w:r>
      <w:proofErr w:type="gramEnd"/>
      <w:r w:rsidRPr="00CD157A">
        <w:rPr>
          <w:rFonts w:eastAsia="Times New Roman"/>
          <w:b w:val="0"/>
          <w:bCs/>
          <w:lang w:eastAsia="en-GB"/>
        </w:rPr>
        <w:t xml:space="preserve"> and data is stored in </w:t>
      </w:r>
      <w:proofErr w:type="spellStart"/>
      <w:r w:rsidRPr="00CD157A">
        <w:rPr>
          <w:rFonts w:eastAsia="Times New Roman"/>
          <w:b w:val="0"/>
          <w:bCs/>
          <w:lang w:eastAsia="en-GB"/>
        </w:rPr>
        <w:t>Abtrace’s</w:t>
      </w:r>
      <w:proofErr w:type="spellEnd"/>
      <w:r w:rsidRPr="00CD157A">
        <w:rPr>
          <w:rFonts w:eastAsia="Times New Roman"/>
          <w:b w:val="0"/>
          <w:bCs/>
          <w:lang w:eastAsia="en-GB"/>
        </w:rPr>
        <w:t xml:space="preserve"> Amazon Web Services (AWS) servers (eu-west-2, in London).</w:t>
      </w:r>
    </w:p>
    <w:p w14:paraId="355B5030" w14:textId="31E227AC"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lastRenderedPageBreak/>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w:t>
      </w:r>
      <w:proofErr w:type="gramStart"/>
      <w:r w:rsidR="001F21BD" w:rsidRPr="00E33299">
        <w:rPr>
          <w:rFonts w:eastAsia="Times New Roman" w:cstheme="minorHAnsi"/>
          <w:sz w:val="20"/>
          <w:szCs w:val="20"/>
          <w:lang w:eastAsia="en-GB"/>
        </w:rPr>
        <w:t>Trust</w:t>
      </w:r>
      <w:r w:rsidR="00B444BF" w:rsidRPr="00E33299">
        <w:rPr>
          <w:rFonts w:eastAsia="Times New Roman" w:cstheme="minorHAnsi"/>
          <w:sz w:val="20"/>
          <w:szCs w:val="20"/>
          <w:lang w:eastAsia="en-GB"/>
        </w:rPr>
        <w:t>;</w:t>
      </w:r>
      <w:proofErr w:type="gramEnd"/>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 xml:space="preserve">Council, and Dorset </w:t>
      </w:r>
      <w:proofErr w:type="gramStart"/>
      <w:r w:rsidRPr="00E33299">
        <w:rPr>
          <w:rFonts w:eastAsia="Times New Roman" w:cstheme="minorHAnsi"/>
          <w:sz w:val="20"/>
          <w:szCs w:val="20"/>
          <w:lang w:eastAsia="en-GB"/>
        </w:rPr>
        <w:t>Council</w:t>
      </w:r>
      <w:r w:rsidR="00B444BF" w:rsidRPr="00E33299">
        <w:rPr>
          <w:rFonts w:eastAsia="Times New Roman" w:cstheme="minorHAnsi"/>
          <w:sz w:val="20"/>
          <w:szCs w:val="20"/>
          <w:lang w:eastAsia="en-GB"/>
        </w:rPr>
        <w:t>;</w:t>
      </w:r>
      <w:proofErr w:type="gramEnd"/>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Public Health </w:t>
      </w:r>
      <w:proofErr w:type="gramStart"/>
      <w:r w:rsidRPr="00E33299">
        <w:rPr>
          <w:rFonts w:eastAsia="Times New Roman" w:cstheme="minorHAnsi"/>
          <w:sz w:val="20"/>
          <w:szCs w:val="20"/>
          <w:lang w:eastAsia="en-GB"/>
        </w:rPr>
        <w:t>Dorset</w:t>
      </w:r>
      <w:r w:rsidR="001F21BD" w:rsidRPr="00E33299">
        <w:rPr>
          <w:rFonts w:eastAsia="Times New Roman" w:cstheme="minorHAnsi"/>
          <w:sz w:val="20"/>
          <w:szCs w:val="20"/>
          <w:lang w:eastAsia="en-GB"/>
        </w:rPr>
        <w:t>;</w:t>
      </w:r>
      <w:proofErr w:type="gramEnd"/>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w:t>
      </w:r>
      <w:proofErr w:type="gramStart"/>
      <w:r w:rsidR="007911BE" w:rsidRPr="00E33299">
        <w:t>have</w:t>
      </w:r>
      <w:proofErr w:type="gramEnd"/>
      <w:r w:rsidR="007911BE" w:rsidRPr="00E33299">
        <w:t xml:space="preser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w:t>
      </w:r>
      <w:proofErr w:type="gramStart"/>
      <w:r w:rsidR="002F6FBB" w:rsidRPr="00E33299">
        <w:t>in order to</w:t>
      </w:r>
      <w:proofErr w:type="gramEnd"/>
      <w:r w:rsidR="002F6FBB" w:rsidRPr="00E33299">
        <w:t xml:space="preserve">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in order to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lastRenderedPageBreak/>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54DED558" w14:textId="77777777" w:rsidR="00CF168F" w:rsidRPr="00C16838" w:rsidRDefault="00CF168F" w:rsidP="00CF168F">
      <w:pPr>
        <w:rPr>
          <w:rFonts w:cstheme="minorHAnsi"/>
          <w:b/>
          <w:bCs/>
          <w:sz w:val="20"/>
          <w:szCs w:val="20"/>
        </w:rPr>
      </w:pPr>
      <w:r w:rsidRPr="00C16838">
        <w:rPr>
          <w:rFonts w:cstheme="minorHAnsi"/>
          <w:b/>
          <w:bCs/>
          <w:sz w:val="20"/>
          <w:szCs w:val="20"/>
        </w:rPr>
        <w:t>Infected Blood Compensation Authority</w:t>
      </w:r>
    </w:p>
    <w:p w14:paraId="4E0CEB13" w14:textId="79C06503" w:rsidR="00CF168F" w:rsidRPr="00E33299" w:rsidRDefault="00CF168F"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w:t>
      </w:r>
      <w:r w:rsidRPr="00E33299">
        <w:rPr>
          <w:lang w:eastAsia="en-GB"/>
        </w:rPr>
        <w:lastRenderedPageBreak/>
        <w:t xml:space="preserve">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1F343A5F" w14:textId="77777777" w:rsidR="003D55EF" w:rsidRPr="00CD157A" w:rsidRDefault="003D55EF" w:rsidP="003D55EF">
      <w:pPr>
        <w:pStyle w:val="ListParagraph"/>
        <w:numPr>
          <w:ilvl w:val="0"/>
          <w:numId w:val="8"/>
        </w:numPr>
        <w:spacing w:after="0" w:line="240" w:lineRule="auto"/>
        <w:textAlignment w:val="baseline"/>
        <w:rPr>
          <w:rFonts w:ascii="Calibri" w:eastAsia="Times New Roman" w:hAnsi="Calibri" w:cs="Calibri"/>
          <w:sz w:val="20"/>
          <w:szCs w:val="20"/>
          <w:lang w:eastAsia="zh-CN"/>
        </w:rPr>
      </w:pPr>
      <w:r w:rsidRPr="00CD157A">
        <w:rPr>
          <w:rFonts w:ascii="Calibri" w:eastAsia="Times New Roman" w:hAnsi="Calibri" w:cs="Calibri"/>
          <w:b/>
          <w:bCs/>
          <w:sz w:val="20"/>
          <w:szCs w:val="20"/>
          <w:lang w:eastAsia="zh-CN"/>
        </w:rPr>
        <w:t>Risk Stratification:</w:t>
      </w:r>
      <w:r w:rsidRPr="00CD157A">
        <w:rPr>
          <w:rFonts w:ascii="Calibri" w:eastAsia="Times New Roman" w:hAnsi="Calibri" w:cs="Calibri"/>
          <w:sz w:val="20"/>
          <w:szCs w:val="20"/>
          <w:lang w:eastAsia="zh-CN"/>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CD157A">
        <w:rPr>
          <w:rFonts w:ascii="Calibri" w:eastAsia="Times New Roman" w:hAnsi="Calibri" w:cs="Calibri"/>
          <w:sz w:val="20"/>
          <w:szCs w:val="20"/>
          <w:lang w:eastAsia="zh-CN"/>
        </w:rPr>
        <w:t>a number of</w:t>
      </w:r>
      <w:proofErr w:type="gramEnd"/>
      <w:r w:rsidRPr="00CD157A">
        <w:rPr>
          <w:rFonts w:ascii="Calibri" w:eastAsia="Times New Roman" w:hAnsi="Calibri" w:cs="Calibri"/>
          <w:sz w:val="20"/>
          <w:szCs w:val="20"/>
          <w:lang w:eastAsia="zh-CN"/>
        </w:rPr>
        <w:t xml:space="preserve"> sources including NHS Trusts and from this GP Practice.  A risk score is then arrived at through an analysis of your de-identified information using software managed by the Dorset Intelligence &amp; Insight Service (DiiS) and is only provided back to your GP as data controller in an identifiable form.   </w:t>
      </w:r>
    </w:p>
    <w:p w14:paraId="31B00CEE" w14:textId="77777777" w:rsidR="003D55EF" w:rsidRPr="00CD157A" w:rsidRDefault="003D55EF" w:rsidP="003D55EF">
      <w:pPr>
        <w:spacing w:after="0" w:line="240" w:lineRule="auto"/>
        <w:textAlignment w:val="baseline"/>
        <w:rPr>
          <w:rFonts w:ascii="Calibri" w:eastAsia="Times New Roman" w:hAnsi="Calibri" w:cs="Calibri"/>
          <w:sz w:val="20"/>
          <w:szCs w:val="20"/>
          <w:lang w:eastAsia="zh-CN"/>
        </w:rPr>
      </w:pPr>
    </w:p>
    <w:p w14:paraId="49ECC5B3" w14:textId="77777777" w:rsidR="003D55EF" w:rsidRDefault="003D55EF" w:rsidP="003D55EF">
      <w:pPr>
        <w:spacing w:after="0" w:line="240" w:lineRule="auto"/>
        <w:ind w:left="720"/>
        <w:textAlignment w:val="baseline"/>
        <w:rPr>
          <w:rFonts w:cstheme="minorHAnsi"/>
          <w:sz w:val="20"/>
          <w:szCs w:val="20"/>
        </w:rPr>
      </w:pPr>
      <w:r w:rsidRPr="00CD157A">
        <w:rPr>
          <w:rFonts w:ascii="Calibri" w:eastAsia="Times New Roman" w:hAnsi="Calibri" w:cs="Calibri"/>
          <w:sz w:val="20"/>
          <w:szCs w:val="20"/>
          <w:lang w:eastAsia="zh-CN"/>
        </w:rPr>
        <w:t xml:space="preserve">Through the NHS-owned and locally developed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w:t>
      </w:r>
      <w:proofErr w:type="spellStart"/>
      <w:r w:rsidRPr="00CD157A">
        <w:rPr>
          <w:rFonts w:ascii="Calibri" w:eastAsia="Times New Roman" w:hAnsi="Calibri" w:cs="Calibri"/>
          <w:sz w:val="20"/>
          <w:szCs w:val="20"/>
          <w:lang w:eastAsia="zh-CN"/>
        </w:rPr>
        <w:t>purposes.</w:t>
      </w:r>
      <w:r w:rsidRPr="00CD157A">
        <w:rPr>
          <w:rFonts w:cstheme="minorHAnsi"/>
          <w:b/>
          <w:sz w:val="20"/>
          <w:szCs w:val="20"/>
        </w:rPr>
        <w:t>National</w:t>
      </w:r>
      <w:proofErr w:type="spellEnd"/>
      <w:r w:rsidRPr="00CD157A">
        <w:rPr>
          <w:rFonts w:cstheme="minorHAnsi"/>
          <w:b/>
          <w:sz w:val="20"/>
          <w:szCs w:val="20"/>
        </w:rPr>
        <w:t xml:space="preserve"> Archiving:</w:t>
      </w:r>
      <w:r w:rsidRPr="00CD157A">
        <w:rPr>
          <w:rFonts w:cstheme="minorHAnsi"/>
          <w:sz w:val="20"/>
          <w:szCs w:val="20"/>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CD157A">
        <w:rPr>
          <w:rFonts w:cstheme="minorHAnsi"/>
          <w:sz w:val="20"/>
          <w:szCs w:val="20"/>
        </w:rPr>
        <w:t>PoD</w:t>
      </w:r>
      <w:proofErr w:type="spellEnd"/>
      <w:r w:rsidRPr="00CD157A">
        <w:rPr>
          <w:rFonts w:cstheme="minorHAnsi"/>
          <w:sz w:val="20"/>
          <w:szCs w:val="20"/>
        </w:rPr>
        <w:t xml:space="preserve">) appointed by the Secretary of State for Culture, Media and Sport.  </w:t>
      </w:r>
      <w:proofErr w:type="spellStart"/>
      <w:r w:rsidRPr="00CD157A">
        <w:rPr>
          <w:rFonts w:cstheme="minorHAnsi"/>
          <w:sz w:val="20"/>
          <w:szCs w:val="20"/>
        </w:rPr>
        <w:t>PoDs</w:t>
      </w:r>
      <w:proofErr w:type="spellEnd"/>
      <w:r w:rsidRPr="00CD157A">
        <w:rPr>
          <w:rFonts w:cstheme="minorHAnsi"/>
          <w:sz w:val="20"/>
          <w:szCs w:val="20"/>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CD157A">
        <w:rPr>
          <w:rFonts w:cstheme="minorHAnsi"/>
          <w:sz w:val="20"/>
          <w:szCs w:val="20"/>
        </w:rPr>
        <w:t>PoD</w:t>
      </w:r>
      <w:proofErr w:type="spellEnd"/>
      <w:r w:rsidRPr="00CD157A">
        <w:rPr>
          <w:rFonts w:cstheme="minorHAnsi"/>
          <w:sz w:val="20"/>
          <w:szCs w:val="20"/>
        </w:rPr>
        <w:t xml:space="preserve"> in advance to ensure that technical issues can be resolved.  Records no longer required for current service provision may be temporarily retained </w:t>
      </w:r>
      <w:r w:rsidRPr="00CD157A">
        <w:rPr>
          <w:rFonts w:cstheme="minorHAnsi"/>
          <w:sz w:val="20"/>
          <w:szCs w:val="20"/>
        </w:rPr>
        <w:lastRenderedPageBreak/>
        <w:t xml:space="preserve">pending transfer to a </w:t>
      </w:r>
      <w:proofErr w:type="spellStart"/>
      <w:r w:rsidRPr="00CD157A">
        <w:rPr>
          <w:rFonts w:cstheme="minorHAnsi"/>
          <w:sz w:val="20"/>
          <w:szCs w:val="20"/>
        </w:rPr>
        <w:t>PoD</w:t>
      </w:r>
      <w:proofErr w:type="spellEnd"/>
      <w:r w:rsidRPr="00CD157A">
        <w:rPr>
          <w:rFonts w:cstheme="minorHAnsi"/>
          <w:sz w:val="20"/>
          <w:szCs w:val="20"/>
        </w:rPr>
        <w:t xml:space="preserve"> and records containing sensitive personal data should not normally be transferred early.</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 xml:space="preserve">s on NHS </w:t>
      </w:r>
      <w:proofErr w:type="gramStart"/>
      <w:r w:rsidR="008A30D9" w:rsidRPr="00E33299">
        <w:rPr>
          <w:rFonts w:cstheme="minorHAnsi"/>
          <w:sz w:val="20"/>
          <w:szCs w:val="20"/>
        </w:rPr>
        <w:t>performance</w:t>
      </w:r>
      <w:r w:rsidRPr="00E33299">
        <w:rPr>
          <w:rFonts w:cstheme="minorHAnsi"/>
          <w:sz w:val="20"/>
          <w:szCs w:val="20"/>
        </w:rPr>
        <w:t>;</w:t>
      </w:r>
      <w:proofErr w:type="gramEnd"/>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w:t>
      </w:r>
      <w:proofErr w:type="gramStart"/>
      <w:r w:rsidR="008A30D9" w:rsidRPr="00E33299">
        <w:rPr>
          <w:rFonts w:cstheme="minorHAnsi"/>
          <w:sz w:val="20"/>
          <w:szCs w:val="20"/>
        </w:rPr>
        <w:t>nationally</w:t>
      </w:r>
      <w:r w:rsidRPr="00E33299">
        <w:rPr>
          <w:rFonts w:cstheme="minorHAnsi"/>
          <w:sz w:val="20"/>
          <w:szCs w:val="20"/>
        </w:rPr>
        <w:t>;</w:t>
      </w:r>
      <w:proofErr w:type="gramEnd"/>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 xml:space="preserve">onitor how we spend public </w:t>
      </w:r>
      <w:proofErr w:type="gramStart"/>
      <w:r w:rsidR="008A30D9" w:rsidRPr="00E33299">
        <w:rPr>
          <w:rFonts w:cstheme="minorHAnsi"/>
          <w:sz w:val="20"/>
          <w:szCs w:val="20"/>
        </w:rPr>
        <w:t>money</w:t>
      </w:r>
      <w:r w:rsidRPr="00E33299">
        <w:rPr>
          <w:rFonts w:cstheme="minorHAnsi"/>
          <w:sz w:val="20"/>
          <w:szCs w:val="20"/>
        </w:rPr>
        <w:t>;</w:t>
      </w:r>
      <w:proofErr w:type="gramEnd"/>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 xml:space="preserve">lan and manage health services for the population of </w:t>
      </w:r>
      <w:proofErr w:type="gramStart"/>
      <w:r w:rsidR="008A30D9" w:rsidRPr="00E33299">
        <w:rPr>
          <w:rFonts w:cstheme="minorHAnsi"/>
          <w:sz w:val="20"/>
          <w:szCs w:val="20"/>
        </w:rPr>
        <w:t>Dorset</w:t>
      </w:r>
      <w:r w:rsidRPr="00E33299">
        <w:rPr>
          <w:rFonts w:cstheme="minorHAnsi"/>
          <w:sz w:val="20"/>
          <w:szCs w:val="20"/>
        </w:rPr>
        <w:t>;</w:t>
      </w:r>
      <w:proofErr w:type="gramEnd"/>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w:t>
      </w:r>
      <w:proofErr w:type="gramStart"/>
      <w:r w:rsidR="00324C32" w:rsidRPr="00E33299">
        <w:t>opted-out</w:t>
      </w:r>
      <w:proofErr w:type="gramEnd"/>
      <w:r w:rsidR="00324C32" w:rsidRPr="00E33299">
        <w:t xml:space="preserve">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w:t>
      </w:r>
      <w:r w:rsidRPr="00E33299">
        <w:rPr>
          <w:sz w:val="20"/>
          <w:szCs w:val="20"/>
        </w:rPr>
        <w:lastRenderedPageBreak/>
        <w:t xml:space="preserve">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complex or we have received </w:t>
      </w:r>
      <w:proofErr w:type="gramStart"/>
      <w:r w:rsidR="00961698" w:rsidRPr="00E33299">
        <w:rPr>
          <w:lang w:eastAsia="en-GB"/>
        </w:rPr>
        <w:t>a number of</w:t>
      </w:r>
      <w:proofErr w:type="gramEnd"/>
      <w:r w:rsidR="00961698" w:rsidRPr="00E33299">
        <w:rPr>
          <w:lang w:eastAsia="en-GB"/>
        </w:rPr>
        <w:t xml:space="preserve">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3703D6C4" w14:textId="77777777" w:rsidR="00EF3B76" w:rsidRPr="00A900E1" w:rsidRDefault="00EF3B76" w:rsidP="00EF3B76">
      <w:pPr>
        <w:pStyle w:val="Para"/>
        <w:rPr>
          <w:b/>
          <w:bCs/>
          <w:lang w:eastAsia="en-GB"/>
        </w:rPr>
      </w:pPr>
      <w:r>
        <w:rPr>
          <w:lang w:eastAsia="en-GB"/>
        </w:rPr>
        <w:t>Woodlea House Surgery on 01202 300903</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33299">
        <w:rPr>
          <w:rFonts w:eastAsia="Times New Roman" w:cstheme="minorHAnsi"/>
          <w:sz w:val="20"/>
          <w:szCs w:val="20"/>
          <w:lang w:eastAsia="en-GB"/>
        </w:rPr>
        <w:t>have to</w:t>
      </w:r>
      <w:proofErr w:type="gramEnd"/>
      <w:r w:rsidRPr="00E33299">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lastRenderedPageBreak/>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the accuracy of the data is </w:t>
      </w:r>
      <w:proofErr w:type="gramStart"/>
      <w:r w:rsidRPr="00E33299">
        <w:rPr>
          <w:rFonts w:eastAsia="Times New Roman" w:cstheme="minorHAnsi"/>
          <w:sz w:val="20"/>
          <w:szCs w:val="20"/>
          <w:lang w:eastAsia="en-GB"/>
        </w:rPr>
        <w:t>contested;</w:t>
      </w:r>
      <w:proofErr w:type="gramEnd"/>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w:t>
      </w:r>
      <w:proofErr w:type="gramStart"/>
      <w:r w:rsidR="0051484B" w:rsidRPr="00E33299">
        <w:rPr>
          <w:rFonts w:eastAsia="Times New Roman" w:cstheme="minorHAnsi"/>
          <w:sz w:val="20"/>
          <w:szCs w:val="20"/>
          <w:lang w:eastAsia="en-GB"/>
        </w:rPr>
        <w:t>Commissioner</w:t>
      </w:r>
      <w:r w:rsidRPr="00E33299">
        <w:rPr>
          <w:rFonts w:eastAsia="Times New Roman" w:cstheme="minorHAnsi"/>
          <w:sz w:val="20"/>
          <w:szCs w:val="20"/>
          <w:lang w:eastAsia="en-GB"/>
        </w:rPr>
        <w:t>;</w:t>
      </w:r>
      <w:proofErr w:type="gramEnd"/>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lastRenderedPageBreak/>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lastRenderedPageBreak/>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w:t>
      </w:r>
      <w:proofErr w:type="gramStart"/>
      <w:r w:rsidRPr="00E33299">
        <w:rPr>
          <w:lang w:eastAsia="en-GB"/>
        </w:rPr>
        <w:t>data</w:t>
      </w:r>
      <w:proofErr w:type="gramEnd"/>
      <w:r w:rsidRPr="00E33299">
        <w:rPr>
          <w:lang w:eastAsia="en-GB"/>
        </w:rPr>
        <w:t xml:space="preserve">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190184B5"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3D55EF">
      <w:rPr>
        <w:color w:val="7F7F7F" w:themeColor="background1" w:themeShade="7F"/>
        <w:spacing w:val="60"/>
      </w:rPr>
      <w:t>5</w:t>
    </w:r>
  </w:p>
  <w:p w14:paraId="10E1A498" w14:textId="38F92F2C"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3D55EF">
      <w:rPr>
        <w:color w:val="7F7F7F" w:themeColor="background1" w:themeShade="7F"/>
        <w:spacing w:val="60"/>
      </w:rPr>
      <w:t>April</w:t>
    </w:r>
    <w:r>
      <w:rPr>
        <w:color w:val="7F7F7F" w:themeColor="background1" w:themeShade="7F"/>
        <w:spacing w:val="60"/>
      </w:rPr>
      <w:t xml:space="preserve"> 202</w:t>
    </w:r>
    <w:r w:rsidR="003D55EF">
      <w:rPr>
        <w:color w:val="7F7F7F" w:themeColor="background1" w:themeShade="7F"/>
        <w:spacing w:val="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75EB3"/>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3C8B"/>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27554"/>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D55EF"/>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27"/>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66273"/>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19C4"/>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168F"/>
    <w:rsid w:val="00CF67D1"/>
    <w:rsid w:val="00CF7273"/>
    <w:rsid w:val="00D10362"/>
    <w:rsid w:val="00D165D5"/>
    <w:rsid w:val="00D201B7"/>
    <w:rsid w:val="00D27EB2"/>
    <w:rsid w:val="00D30EDD"/>
    <w:rsid w:val="00D347CF"/>
    <w:rsid w:val="00D347D0"/>
    <w:rsid w:val="00D3732F"/>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EF3B76"/>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C20AE"/>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lea.reception@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2.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3.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8259</Words>
  <Characters>46852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6</cp:revision>
  <dcterms:created xsi:type="dcterms:W3CDTF">2025-06-03T09:35:00Z</dcterms:created>
  <dcterms:modified xsi:type="dcterms:W3CDTF">2026-05-12T12:13:00Z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d4c12571-88c8-44bc-a099-b43e1c58f729</vt:lpwstr>
  </property>
</Properties>
</file>